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E48A3" w:rsidRDefault="009E48A3" w:rsidP="009E48A3">
      <w:pPr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6"/>
          <w:szCs w:val="26"/>
        </w:rPr>
      </w:pPr>
    </w:p>
    <w:p w:rsidR="009E48A3" w:rsidRPr="00867DEE" w:rsidRDefault="009E48A3" w:rsidP="009E48A3">
      <w:pPr>
        <w:autoSpaceDE w:val="0"/>
        <w:autoSpaceDN w:val="0"/>
        <w:adjustRightInd w:val="0"/>
        <w:ind w:left="-284" w:firstLine="284"/>
        <w:jc w:val="center"/>
        <w:rPr>
          <w:b/>
          <w:color w:val="000000"/>
          <w:sz w:val="26"/>
          <w:szCs w:val="26"/>
        </w:rPr>
      </w:pPr>
      <w:r w:rsidRPr="00867DEE">
        <w:rPr>
          <w:b/>
          <w:bCs/>
          <w:color w:val="000000"/>
          <w:sz w:val="26"/>
          <w:szCs w:val="26"/>
        </w:rPr>
        <w:t xml:space="preserve">Для участников Программы </w:t>
      </w:r>
      <w:proofErr w:type="gramStart"/>
      <w:r w:rsidRPr="00867DEE">
        <w:rPr>
          <w:b/>
          <w:bCs/>
          <w:color w:val="000000"/>
          <w:sz w:val="26"/>
          <w:szCs w:val="26"/>
        </w:rPr>
        <w:t>государственного</w:t>
      </w:r>
      <w:proofErr w:type="gramEnd"/>
      <w:r w:rsidRPr="00867DE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67DEE">
        <w:rPr>
          <w:b/>
          <w:bCs/>
          <w:color w:val="000000"/>
          <w:sz w:val="26"/>
          <w:szCs w:val="26"/>
        </w:rPr>
        <w:t>софинансирования</w:t>
      </w:r>
      <w:proofErr w:type="spellEnd"/>
      <w:r w:rsidRPr="00867DEE">
        <w:rPr>
          <w:b/>
          <w:bCs/>
          <w:color w:val="000000"/>
          <w:sz w:val="26"/>
          <w:szCs w:val="26"/>
        </w:rPr>
        <w:t xml:space="preserve"> пенсионных накоплений: </w:t>
      </w:r>
      <w:r w:rsidRPr="00867DEE">
        <w:rPr>
          <w:b/>
          <w:color w:val="000000"/>
          <w:sz w:val="26"/>
          <w:szCs w:val="26"/>
        </w:rPr>
        <w:t>своевременный добровольный взнос удвоит пенсионный счет!</w:t>
      </w:r>
    </w:p>
    <w:p w:rsidR="009E48A3" w:rsidRPr="009E48A3" w:rsidRDefault="009E48A3" w:rsidP="009E48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E48A3" w:rsidRPr="00867DEE" w:rsidRDefault="009E48A3" w:rsidP="009E48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Pr="00867DEE">
        <w:rPr>
          <w:sz w:val="26"/>
          <w:szCs w:val="26"/>
        </w:rPr>
        <w:t xml:space="preserve"> Пенсионного фонда РФ </w:t>
      </w:r>
      <w:r>
        <w:rPr>
          <w:sz w:val="26"/>
          <w:szCs w:val="26"/>
        </w:rPr>
        <w:t>в городе Алапаевске и Алапаевском районе</w:t>
      </w:r>
      <w:r w:rsidRPr="00867DEE">
        <w:rPr>
          <w:sz w:val="26"/>
          <w:szCs w:val="26"/>
        </w:rPr>
        <w:t xml:space="preserve"> Свердловской области напоминает, что участникам Программы государственного </w:t>
      </w:r>
      <w:proofErr w:type="spellStart"/>
      <w:r w:rsidRPr="00867DEE">
        <w:rPr>
          <w:sz w:val="26"/>
          <w:szCs w:val="26"/>
        </w:rPr>
        <w:t>софинансирования</w:t>
      </w:r>
      <w:proofErr w:type="spellEnd"/>
      <w:r w:rsidRPr="00867DEE">
        <w:rPr>
          <w:sz w:val="26"/>
          <w:szCs w:val="26"/>
        </w:rPr>
        <w:t xml:space="preserve"> пенсионных </w:t>
      </w:r>
      <w:r>
        <w:rPr>
          <w:sz w:val="26"/>
          <w:szCs w:val="26"/>
        </w:rPr>
        <w:t>накоплений необходимо перечислит</w:t>
      </w:r>
      <w:r w:rsidRPr="00867DEE">
        <w:rPr>
          <w:sz w:val="26"/>
          <w:szCs w:val="26"/>
        </w:rPr>
        <w:t xml:space="preserve">ь дополнительные страховые взносы на накопительную пенсию до конца 2020 календарного года для того, чтобы государство </w:t>
      </w:r>
      <w:proofErr w:type="spellStart"/>
      <w:r w:rsidRPr="00867DEE">
        <w:rPr>
          <w:sz w:val="26"/>
          <w:szCs w:val="26"/>
        </w:rPr>
        <w:t>прософинансировало</w:t>
      </w:r>
      <w:proofErr w:type="spellEnd"/>
      <w:r w:rsidRPr="00867DEE">
        <w:rPr>
          <w:sz w:val="26"/>
          <w:szCs w:val="26"/>
        </w:rPr>
        <w:t xml:space="preserve"> уплаченные  добровольные взносы в следующем году.</w:t>
      </w:r>
    </w:p>
    <w:p w:rsidR="009E48A3" w:rsidRPr="00867DEE" w:rsidRDefault="009E48A3" w:rsidP="009E48A3">
      <w:pPr>
        <w:pStyle w:val="a8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DEE">
        <w:rPr>
          <w:rFonts w:ascii="Times New Roman" w:hAnsi="Times New Roman"/>
          <w:sz w:val="26"/>
          <w:szCs w:val="26"/>
        </w:rPr>
        <w:t>Обращаем внимание, что участниками Программы, имеющими  право на выделение сумм финансовой поддержки со стороны государства, являются застрахованные лица, вступившие в Программу  (подавшие заявление о вступление в Программу) в период с 1 октября 2008 года по 31 декабря 2014 года и успевшие сделать первый взнос в срок до 31 января 2015 года.</w:t>
      </w:r>
      <w:proofErr w:type="gramEnd"/>
      <w:r w:rsidRPr="00867DEE">
        <w:rPr>
          <w:rFonts w:ascii="Times New Roman" w:hAnsi="Times New Roman"/>
          <w:sz w:val="26"/>
          <w:szCs w:val="26"/>
        </w:rPr>
        <w:t xml:space="preserve"> Если гражданин подал заявление о вступлении в Программу в период с 5 ноября по 31 декабря 2014 года, при этом являясь получателем любого из видов пенсии, то уплаченные им в дальнейшем суммы дополнительных страховых взносов будут увеличивать пенсионные накопления без  </w:t>
      </w:r>
      <w:proofErr w:type="spellStart"/>
      <w:r w:rsidRPr="00867DEE">
        <w:rPr>
          <w:rFonts w:ascii="Times New Roman" w:hAnsi="Times New Roman"/>
          <w:sz w:val="26"/>
          <w:szCs w:val="26"/>
        </w:rPr>
        <w:t>софинасирования</w:t>
      </w:r>
      <w:proofErr w:type="spellEnd"/>
      <w:r w:rsidRPr="00867DEE">
        <w:rPr>
          <w:rFonts w:ascii="Times New Roman" w:hAnsi="Times New Roman"/>
          <w:sz w:val="26"/>
          <w:szCs w:val="26"/>
        </w:rPr>
        <w:t xml:space="preserve"> со стороны государства </w:t>
      </w:r>
    </w:p>
    <w:p w:rsidR="009E48A3" w:rsidRPr="00867DEE" w:rsidRDefault="009E48A3" w:rsidP="009E48A3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67DEE">
        <w:rPr>
          <w:rFonts w:ascii="Times New Roman" w:hAnsi="Times New Roman"/>
          <w:color w:val="000000"/>
          <w:sz w:val="26"/>
          <w:szCs w:val="26"/>
        </w:rPr>
        <w:t xml:space="preserve">По условиям Программы государство ежегодно обеспечит </w:t>
      </w:r>
      <w:proofErr w:type="spellStart"/>
      <w:r w:rsidRPr="00867DEE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867DEE">
        <w:rPr>
          <w:rFonts w:ascii="Times New Roman" w:hAnsi="Times New Roman"/>
          <w:color w:val="000000"/>
          <w:sz w:val="26"/>
          <w:szCs w:val="26"/>
        </w:rPr>
        <w:t xml:space="preserve"> дополнительных страховых взносов участников Программы при уплате взносов в пределах от 2000 до 12000 рублей в календарном году. При перечислении дополнительных страховых взносов в размере менее 2000 руб. </w:t>
      </w:r>
      <w:proofErr w:type="spellStart"/>
      <w:r w:rsidRPr="00867DEE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867DEE">
        <w:rPr>
          <w:rFonts w:ascii="Times New Roman" w:hAnsi="Times New Roman"/>
          <w:color w:val="000000"/>
          <w:sz w:val="26"/>
          <w:szCs w:val="26"/>
        </w:rPr>
        <w:t xml:space="preserve"> государством не осуществляется. </w:t>
      </w:r>
    </w:p>
    <w:p w:rsidR="009E48A3" w:rsidRPr="00867DEE" w:rsidRDefault="009E48A3" w:rsidP="009E48A3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67DEE">
        <w:rPr>
          <w:rFonts w:ascii="Times New Roman" w:hAnsi="Times New Roman"/>
          <w:color w:val="000000"/>
          <w:sz w:val="26"/>
          <w:szCs w:val="26"/>
        </w:rPr>
        <w:t xml:space="preserve">Программа действует 10 лет с года уплаты первого взноса. </w:t>
      </w:r>
      <w:r w:rsidRPr="00867DEE">
        <w:rPr>
          <w:rFonts w:ascii="Times New Roman" w:hAnsi="Times New Roman"/>
          <w:sz w:val="26"/>
          <w:szCs w:val="26"/>
        </w:rPr>
        <w:t xml:space="preserve">2020 год -  последний год для внесения дополнительных страховых взносов и получения государственного </w:t>
      </w:r>
      <w:proofErr w:type="spellStart"/>
      <w:r w:rsidRPr="00867DE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867DEE">
        <w:rPr>
          <w:rFonts w:ascii="Times New Roman" w:hAnsi="Times New Roman"/>
          <w:sz w:val="26"/>
          <w:szCs w:val="26"/>
        </w:rPr>
        <w:t xml:space="preserve"> в 2021 году для участников Программы, начавших уплату в 2011 году. В дальнейшем такие застрахованные лица могут продолжать перечислять дополнительные страховые взносы, при этом сумма средств пенсионных накоплений будет увеличиваться за счет уплаченных взносов и инвестироваться.</w:t>
      </w:r>
    </w:p>
    <w:p w:rsidR="009E48A3" w:rsidRPr="00867DEE" w:rsidRDefault="009E48A3" w:rsidP="009E48A3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7DEE">
        <w:rPr>
          <w:rFonts w:ascii="Times New Roman" w:hAnsi="Times New Roman"/>
          <w:sz w:val="26"/>
          <w:szCs w:val="26"/>
        </w:rPr>
        <w:t>Перечислить дополнительные страховые взносы можно самостоятельно через кредитные учреждения (в т.ч. через Сбербанк-</w:t>
      </w:r>
      <w:proofErr w:type="gramStart"/>
      <w:r w:rsidRPr="00867DEE">
        <w:rPr>
          <w:rFonts w:ascii="Times New Roman" w:hAnsi="Times New Roman"/>
          <w:sz w:val="26"/>
          <w:szCs w:val="26"/>
          <w:lang w:val="en-US"/>
        </w:rPr>
        <w:t>online</w:t>
      </w:r>
      <w:proofErr w:type="gramEnd"/>
      <w:r w:rsidRPr="00867DEE">
        <w:rPr>
          <w:rFonts w:ascii="Times New Roman" w:hAnsi="Times New Roman"/>
          <w:sz w:val="26"/>
          <w:szCs w:val="26"/>
        </w:rPr>
        <w:t xml:space="preserve">) либо через работодателя, подав соответствующее заявление в бухгалтерию. </w:t>
      </w:r>
    </w:p>
    <w:p w:rsidR="009E48A3" w:rsidRPr="00867DEE" w:rsidRDefault="009E48A3" w:rsidP="009E48A3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7DEE">
        <w:rPr>
          <w:rFonts w:ascii="Times New Roman" w:hAnsi="Times New Roman"/>
          <w:sz w:val="26"/>
          <w:szCs w:val="26"/>
        </w:rPr>
        <w:t xml:space="preserve">Реквизиты Отделения ПФР по Свердловской области, необходимые для осуществления перечислений дополнительных страховых взносов, можно найти на сайте Пенсионного фонда России, используя при этом электронный сервис </w:t>
      </w:r>
      <w:r w:rsidRPr="00867DEE">
        <w:rPr>
          <w:rStyle w:val="ae"/>
          <w:rFonts w:ascii="Times New Roman" w:hAnsi="Times New Roman"/>
          <w:i w:val="0"/>
          <w:sz w:val="26"/>
          <w:szCs w:val="26"/>
        </w:rPr>
        <w:t>«</w:t>
      </w:r>
      <w:hyperlink r:id="rId7" w:history="1">
        <w:r w:rsidRPr="00867DEE">
          <w:rPr>
            <w:rStyle w:val="ac"/>
            <w:rFonts w:ascii="Times New Roman" w:hAnsi="Times New Roman"/>
            <w:sz w:val="26"/>
            <w:szCs w:val="26"/>
          </w:rPr>
          <w:t>Сформировать платежный документ</w:t>
        </w:r>
      </w:hyperlink>
      <w:r w:rsidRPr="00867DEE">
        <w:rPr>
          <w:rStyle w:val="ae"/>
          <w:rFonts w:ascii="Times New Roman" w:hAnsi="Times New Roman"/>
          <w:i w:val="0"/>
          <w:sz w:val="26"/>
          <w:szCs w:val="26"/>
        </w:rPr>
        <w:t>» (</w:t>
      </w:r>
      <w:hyperlink r:id="rId8" w:history="1">
        <w:r w:rsidRPr="00867DEE">
          <w:rPr>
            <w:rStyle w:val="ac"/>
            <w:rFonts w:ascii="Times New Roman" w:hAnsi="Times New Roman"/>
            <w:sz w:val="26"/>
            <w:szCs w:val="26"/>
          </w:rPr>
          <w:t>http://www.pfrf.ru/eservices/pay_docs/</w:t>
        </w:r>
      </w:hyperlink>
      <w:r w:rsidRPr="00867DEE">
        <w:rPr>
          <w:rStyle w:val="ae"/>
          <w:rFonts w:ascii="Times New Roman" w:hAnsi="Times New Roman"/>
          <w:i w:val="0"/>
          <w:sz w:val="26"/>
          <w:szCs w:val="26"/>
        </w:rPr>
        <w:t xml:space="preserve">), размещенный </w:t>
      </w:r>
      <w:r w:rsidRPr="00867DEE">
        <w:rPr>
          <w:rFonts w:ascii="Times New Roman" w:hAnsi="Times New Roman"/>
          <w:sz w:val="26"/>
          <w:szCs w:val="26"/>
        </w:rPr>
        <w:t xml:space="preserve">в </w:t>
      </w:r>
      <w:r w:rsidRPr="00867DEE">
        <w:rPr>
          <w:rStyle w:val="ae"/>
          <w:rFonts w:ascii="Times New Roman" w:hAnsi="Times New Roman"/>
          <w:i w:val="0"/>
          <w:sz w:val="26"/>
          <w:szCs w:val="26"/>
        </w:rPr>
        <w:t>разделе «Электронные сервисы».</w:t>
      </w:r>
    </w:p>
    <w:p w:rsidR="005B228B" w:rsidRPr="00835282" w:rsidRDefault="009E48A3" w:rsidP="009E48A3">
      <w:pPr>
        <w:ind w:firstLine="709"/>
        <w:jc w:val="both"/>
        <w:rPr>
          <w:bCs/>
          <w:color w:val="000000"/>
        </w:rPr>
      </w:pPr>
      <w:r w:rsidRPr="00867DEE">
        <w:rPr>
          <w:rStyle w:val="ae"/>
          <w:i w:val="0"/>
          <w:sz w:val="26"/>
          <w:szCs w:val="26"/>
        </w:rPr>
        <w:t>Жители Свердловской области могут узнать о работе Программы, позвонив по телефону горячей линии  Отделения ПФР по Свердловской области</w:t>
      </w:r>
      <w:r w:rsidRPr="00867DEE">
        <w:rPr>
          <w:color w:val="000000"/>
          <w:sz w:val="26"/>
          <w:szCs w:val="26"/>
        </w:rPr>
        <w:t xml:space="preserve"> 8-800-600-03-89 и (343) 286-78-01</w:t>
      </w:r>
      <w:r w:rsidR="001B25FA">
        <w:rPr>
          <w:sz w:val="26"/>
          <w:szCs w:val="26"/>
        </w:rPr>
        <w:t>.</w:t>
      </w:r>
    </w:p>
    <w:sectPr w:rsidR="005B228B" w:rsidRPr="00835282" w:rsidSect="009E48A3">
      <w:headerReference w:type="default" r:id="rId9"/>
      <w:footerReference w:type="even" r:id="rId10"/>
      <w:footerReference w:type="default" r:id="rId11"/>
      <w:pgSz w:w="11906" w:h="16838" w:code="9"/>
      <w:pgMar w:top="1560" w:right="707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D5" w:rsidRDefault="00EB54D5">
      <w:r>
        <w:separator/>
      </w:r>
    </w:p>
  </w:endnote>
  <w:endnote w:type="continuationSeparator" w:id="0">
    <w:p w:rsidR="00EB54D5" w:rsidRDefault="00EB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828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828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45C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E82899" w:rsidP="005B228B">
    <w:pPr>
      <w:pStyle w:val="a4"/>
      <w:jc w:val="center"/>
      <w:rPr>
        <w:rFonts w:ascii="Arial" w:hAnsi="Arial"/>
        <w:b/>
      </w:rPr>
    </w:pPr>
    <w:r w:rsidRPr="00E82899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D5" w:rsidRDefault="00EB54D5">
      <w:r>
        <w:separator/>
      </w:r>
    </w:p>
  </w:footnote>
  <w:footnote w:type="continuationSeparator" w:id="0">
    <w:p w:rsidR="00EB54D5" w:rsidRDefault="00EB5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8289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1259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25FA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05AA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305FA"/>
    <w:rsid w:val="0063683E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4C4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3FBC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45C"/>
    <w:rsid w:val="00886891"/>
    <w:rsid w:val="008B0F07"/>
    <w:rsid w:val="008B4FAA"/>
    <w:rsid w:val="008B538B"/>
    <w:rsid w:val="008D2076"/>
    <w:rsid w:val="008D2786"/>
    <w:rsid w:val="008D2F53"/>
    <w:rsid w:val="008F0796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48A3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1839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30D0"/>
    <w:rsid w:val="00B34E82"/>
    <w:rsid w:val="00B404B8"/>
    <w:rsid w:val="00B41C4F"/>
    <w:rsid w:val="00B41C75"/>
    <w:rsid w:val="00B43CE7"/>
    <w:rsid w:val="00B4711F"/>
    <w:rsid w:val="00B54164"/>
    <w:rsid w:val="00B549D5"/>
    <w:rsid w:val="00B6092F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2899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B54D5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31A2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7244C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244C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244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244C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244C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7244C4"/>
  </w:style>
  <w:style w:type="paragraph" w:styleId="a6">
    <w:name w:val="Balloon Text"/>
    <w:basedOn w:val="a"/>
    <w:semiHidden/>
    <w:rsid w:val="007244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244C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7244C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7244C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7244C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7244C4"/>
    <w:rPr>
      <w:b/>
      <w:bCs/>
      <w:sz w:val="20"/>
      <w:szCs w:val="20"/>
    </w:rPr>
  </w:style>
  <w:style w:type="paragraph" w:customStyle="1" w:styleId="10">
    <w:name w:val="1 Знак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724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7244C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7244C4"/>
    <w:pPr>
      <w:ind w:left="720"/>
      <w:jc w:val="both"/>
    </w:pPr>
    <w:rPr>
      <w:sz w:val="28"/>
    </w:rPr>
  </w:style>
  <w:style w:type="paragraph" w:styleId="ad">
    <w:name w:val="Body Text"/>
    <w:basedOn w:val="a"/>
    <w:rsid w:val="007244C4"/>
    <w:pPr>
      <w:jc w:val="both"/>
    </w:pPr>
    <w:rPr>
      <w:szCs w:val="28"/>
    </w:rPr>
  </w:style>
  <w:style w:type="paragraph" w:styleId="20">
    <w:name w:val="Body Text Indent 2"/>
    <w:basedOn w:val="a"/>
    <w:rsid w:val="007244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244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244C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pay_do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eservices/pay_do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4</cp:revision>
  <cp:lastPrinted>2012-07-02T04:50:00Z</cp:lastPrinted>
  <dcterms:created xsi:type="dcterms:W3CDTF">2020-11-17T04:17:00Z</dcterms:created>
  <dcterms:modified xsi:type="dcterms:W3CDTF">2020-11-17T04:23:00Z</dcterms:modified>
</cp:coreProperties>
</file>