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A26BDA">
        <w:rPr>
          <w:rFonts w:ascii="Liberation Serif" w:hAnsi="Liberation Serif"/>
          <w:szCs w:val="28"/>
        </w:rPr>
        <w:t>мая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5B7669">
              <w:rPr>
                <w:rFonts w:ascii="Liberation Serif" w:hAnsi="Liberation Serif"/>
                <w:b/>
              </w:rPr>
              <w:t>22 139,8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950890">
              <w:rPr>
                <w:rFonts w:ascii="Liberation Serif" w:hAnsi="Liberation Serif"/>
              </w:rPr>
              <w:t> 21</w:t>
            </w:r>
            <w:r w:rsidR="005B7669">
              <w:rPr>
                <w:rFonts w:ascii="Liberation Serif" w:hAnsi="Liberation Serif"/>
              </w:rPr>
              <w:t>4,9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A26BDA">
              <w:rPr>
                <w:rFonts w:ascii="Liberation Serif" w:hAnsi="Liberation Serif"/>
              </w:rPr>
              <w:t>22 19</w:t>
            </w:r>
            <w:r w:rsidR="005B7669">
              <w:rPr>
                <w:rFonts w:ascii="Liberation Serif" w:hAnsi="Liberation Serif"/>
              </w:rPr>
              <w:t>9,8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2020 г.  –  </w:t>
            </w:r>
            <w:r w:rsidR="00A26BDA">
              <w:rPr>
                <w:rFonts w:ascii="Liberation Serif" w:hAnsi="Liberation Serif"/>
              </w:rPr>
              <w:t>2 21</w:t>
            </w:r>
            <w:r w:rsidR="005B7669">
              <w:rPr>
                <w:rFonts w:ascii="Liberation Serif" w:hAnsi="Liberation Serif"/>
              </w:rPr>
              <w:t>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28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184"/>
        <w:gridCol w:w="567"/>
        <w:gridCol w:w="724"/>
        <w:gridCol w:w="410"/>
        <w:gridCol w:w="142"/>
        <w:gridCol w:w="60"/>
        <w:gridCol w:w="8"/>
        <w:gridCol w:w="12"/>
        <w:gridCol w:w="8"/>
        <w:gridCol w:w="16"/>
        <w:gridCol w:w="37"/>
        <w:gridCol w:w="768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728"/>
        <w:gridCol w:w="502"/>
      </w:tblGrid>
      <w:tr w:rsidR="00626839" w:rsidRPr="00F20798" w:rsidTr="00D756B0">
        <w:trPr>
          <w:cantSplit/>
          <w:trHeight w:val="405"/>
          <w:tblHeader/>
          <w:tblCellSpacing w:w="5" w:type="nil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D756B0">
        <w:trPr>
          <w:cantSplit/>
          <w:trHeight w:val="255"/>
          <w:tblHeader/>
          <w:tblCellSpacing w:w="5" w:type="nil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rHeight w:val="219"/>
          <w:tblHeader/>
          <w:tblCellSpacing w:w="5" w:type="nil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6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D756B0">
        <w:trPr>
          <w:cantSplit/>
          <w:tblHeader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D756B0">
        <w:trPr>
          <w:trHeight w:val="320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451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D756B0">
        <w:trPr>
          <w:gridAfter w:val="1"/>
          <w:wAfter w:w="501" w:type="dxa"/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3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D756B0">
        <w:trPr>
          <w:trHeight w:val="638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A26BDA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Осуществление внутреннего</w:t>
            </w:r>
            <w:r w:rsidR="00181D96"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бюджетов бюджетной системы Российской Федерации»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629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0E34FA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D756B0">
        <w:trPr>
          <w:trHeight w:val="353"/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0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3.3.1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Отношение предельного объема  </w:t>
            </w:r>
            <w:r w:rsidRPr="00F20798">
              <w:rPr>
                <w:rFonts w:ascii="Liberation Serif" w:hAnsi="Liberation Serif"/>
                <w:sz w:val="20"/>
              </w:rPr>
              <w:lastRenderedPageBreak/>
              <w:t>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 xml:space="preserve">Решение Думы о бюджете Махнёвского муниципального образования </w:t>
            </w:r>
            <w:r w:rsidRPr="00F20798">
              <w:rPr>
                <w:rFonts w:ascii="Liberation Serif" w:hAnsi="Liberation Serif"/>
                <w:iCs/>
                <w:sz w:val="20"/>
              </w:rPr>
              <w:lastRenderedPageBreak/>
              <w:t>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3.3.2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572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D756B0">
        <w:trPr>
          <w:tblCellSpacing w:w="5" w:type="nil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A66AF1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Default="00B91249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103ED4" w:rsidRPr="001A01B9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37C1B" w:rsidRDefault="00937C1B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103ED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544"/>
        <w:gridCol w:w="390"/>
        <w:gridCol w:w="826"/>
        <w:gridCol w:w="1596"/>
      </w:tblGrid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D756B0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A26BDA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2219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 21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219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 21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D756B0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91109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2085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911098">
              <w:rPr>
                <w:rFonts w:ascii="Liberation Serif" w:hAnsi="Liberation Serif"/>
                <w:sz w:val="20"/>
                <w:szCs w:val="24"/>
              </w:rPr>
              <w:t> 08</w:t>
            </w:r>
            <w:r w:rsidR="00F07606">
              <w:rPr>
                <w:rFonts w:ascii="Liberation Serif" w:hAnsi="Liberation Serif"/>
                <w:sz w:val="20"/>
                <w:szCs w:val="24"/>
              </w:rPr>
              <w:t>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911098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2085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911098">
              <w:rPr>
                <w:rFonts w:ascii="Liberation Serif" w:hAnsi="Liberation Serif"/>
                <w:sz w:val="20"/>
              </w:rPr>
              <w:t> 08</w:t>
            </w:r>
            <w:r w:rsidR="00F07606">
              <w:rPr>
                <w:rFonts w:ascii="Liberation Serif" w:hAnsi="Liberation Serif"/>
                <w:sz w:val="20"/>
              </w:rPr>
              <w:t>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бюджетного и финансового регулирования, главными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«Обеспечение контроля за соблюдением бюджетного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D756B0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D756B0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D756B0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Подготовка программы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D756B0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D756B0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D756B0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3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D756B0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425740">
              <w:rPr>
                <w:rFonts w:ascii="Liberation Serif" w:hAnsi="Liberation Serif"/>
                <w:sz w:val="20"/>
                <w:szCs w:val="20"/>
              </w:rPr>
              <w:t>34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425740"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7D0B41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D0B41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D756B0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3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D756B0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D756B0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14EDF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114EDF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D72EB8">
              <w:rPr>
                <w:rFonts w:ascii="Liberation Serif" w:hAnsi="Liberation Serif"/>
                <w:sz w:val="20"/>
                <w:szCs w:val="24"/>
              </w:rPr>
              <w:t>2 19</w:t>
            </w:r>
            <w:r w:rsidR="005D6CE3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413</w:t>
            </w:r>
            <w:r w:rsidR="00034A5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,</w:t>
            </w:r>
            <w:r w:rsidR="002123C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  <w:r w:rsidRPr="00114ED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</w:t>
            </w:r>
            <w:r w:rsidR="00D72EB8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 21</w:t>
            </w:r>
            <w:r w:rsidR="00B5227C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4E4D20" w:rsidRPr="00114EDF" w:rsidRDefault="00B5227C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916E25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0"/>
                <w:szCs w:val="24"/>
              </w:rPr>
              <w:t>20 85</w:t>
            </w:r>
            <w:r w:rsidR="002A3417">
              <w:rPr>
                <w:rFonts w:ascii="Liberation Serif" w:hAnsi="Liberation Serif"/>
                <w:color w:val="FF0000"/>
                <w:sz w:val="20"/>
                <w:szCs w:val="24"/>
              </w:rPr>
              <w:t>8,0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4C1507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114EDF" w:rsidRDefault="007D0B41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208</w:t>
            </w:r>
            <w:r w:rsidR="00F07606">
              <w:rPr>
                <w:rFonts w:ascii="Liberation Serif" w:hAnsi="Liberation Serif"/>
                <w:color w:val="FF0000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114EDF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916E25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114EDF" w:rsidRDefault="00F07606" w:rsidP="00AB7303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916E25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77</w:t>
            </w:r>
            <w:bookmarkStart w:id="0" w:name="_GoBack"/>
            <w:bookmarkEnd w:id="0"/>
            <w:r w:rsidR="002A3417">
              <w:rPr>
                <w:rFonts w:ascii="Liberation Serif" w:hAnsi="Liberation Serif"/>
                <w:color w:val="FF0000"/>
                <w:sz w:val="24"/>
                <w:szCs w:val="24"/>
              </w:rPr>
              <w:t>3,</w:t>
            </w:r>
            <w:r w:rsidR="0012751D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114EDF" w:rsidRDefault="002A3417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114EDF" w:rsidRDefault="007D0B41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  <w:r w:rsidR="00F07606">
              <w:rPr>
                <w:rFonts w:ascii="Liberation Serif" w:hAnsi="Liberation Serif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E4D20" w:rsidRPr="00114EDF" w:rsidRDefault="00F07606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4E4D20" w:rsidP="00D51BE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14EDF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114EDF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</w:p>
        </w:tc>
      </w:tr>
    </w:tbl>
    <w:p w:rsidR="00524C08" w:rsidRPr="001A01B9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lastRenderedPageBreak/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BF" w:rsidRDefault="00D140BF">
      <w:r>
        <w:separator/>
      </w:r>
    </w:p>
  </w:endnote>
  <w:endnote w:type="continuationSeparator" w:id="0">
    <w:p w:rsidR="00D140BF" w:rsidRDefault="00D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BF" w:rsidRDefault="00D140BF">
      <w:r>
        <w:separator/>
      </w:r>
    </w:p>
  </w:footnote>
  <w:footnote w:type="continuationSeparator" w:id="0">
    <w:p w:rsidR="00D140BF" w:rsidRDefault="00D1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1098" w:rsidRDefault="00911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0B41">
      <w:rPr>
        <w:rStyle w:val="ae"/>
        <w:noProof/>
      </w:rPr>
      <w:t>26</w:t>
    </w:r>
    <w:r>
      <w:rPr>
        <w:rStyle w:val="ae"/>
      </w:rPr>
      <w:fldChar w:fldCharType="end"/>
    </w:r>
  </w:p>
  <w:p w:rsidR="00911098" w:rsidRDefault="00911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9236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D39F-F33A-45AF-A1C8-BF142C34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35937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52</cp:revision>
  <cp:lastPrinted>2020-05-12T04:21:00Z</cp:lastPrinted>
  <dcterms:created xsi:type="dcterms:W3CDTF">2019-04-12T08:00:00Z</dcterms:created>
  <dcterms:modified xsi:type="dcterms:W3CDTF">2020-05-12T04:22:00Z</dcterms:modified>
</cp:coreProperties>
</file>