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3C" w:rsidRDefault="003E6C3C">
      <w:pPr>
        <w:rPr>
          <w:sz w:val="2"/>
          <w:szCs w:val="2"/>
        </w:rPr>
      </w:pPr>
      <w:r w:rsidRPr="003E6C3C">
        <w:pict>
          <v:rect id="_x0000_s1026" style="position:absolute;margin-left:59.95pt;margin-top:217.4pt;width:205.5pt;height:32.7pt;z-index:-251658752;mso-position-horizontal-relative:page;mso-position-vertical-relative:page" stroked="f">
            <w10:wrap anchorx="page" anchory="page"/>
          </v:rect>
        </w:pict>
      </w:r>
    </w:p>
    <w:p w:rsidR="003E6C3C" w:rsidRDefault="00FD7D62">
      <w:pPr>
        <w:pStyle w:val="20"/>
        <w:framePr w:w="10296" w:h="3924" w:hRule="exact" w:wrap="none" w:vAnchor="page" w:hAnchor="page" w:x="1086" w:y="8739"/>
        <w:shd w:val="clear" w:color="auto" w:fill="auto"/>
        <w:tabs>
          <w:tab w:val="left" w:pos="5118"/>
          <w:tab w:val="left" w:pos="8589"/>
        </w:tabs>
        <w:spacing w:after="0" w:line="483" w:lineRule="exact"/>
        <w:ind w:firstLine="760"/>
        <w:jc w:val="both"/>
      </w:pPr>
      <w:r>
        <w:t>Паспортом национального проекта «Малое и среднее предпринимательство и поддержка индивидуальной</w:t>
      </w:r>
      <w:r>
        <w:tab/>
        <w:t>предпринимательской</w:t>
      </w:r>
      <w:r>
        <w:tab/>
        <w:t>инициативы»</w:t>
      </w:r>
    </w:p>
    <w:p w:rsidR="003E6C3C" w:rsidRDefault="00FD7D62">
      <w:pPr>
        <w:pStyle w:val="20"/>
        <w:framePr w:w="10296" w:h="3924" w:hRule="exact" w:wrap="none" w:vAnchor="page" w:hAnchor="page" w:x="1086" w:y="8739"/>
        <w:shd w:val="clear" w:color="auto" w:fill="auto"/>
        <w:spacing w:after="0" w:line="483" w:lineRule="exact"/>
        <w:jc w:val="both"/>
      </w:pPr>
      <w:r>
        <w:t xml:space="preserve">(далее - национальный проект) предусмотрено достижение к 2024 году целевого показателя по увеличению численности занятых в </w:t>
      </w:r>
      <w:r>
        <w:t>сфере малого и среднего предпринимательства, включая индивидуальных предпринимателей, до 25 млн. человек.</w:t>
      </w:r>
    </w:p>
    <w:p w:rsidR="003E6C3C" w:rsidRDefault="00FD7D62">
      <w:pPr>
        <w:pStyle w:val="20"/>
        <w:framePr w:w="10296" w:h="3924" w:hRule="exact" w:wrap="none" w:vAnchor="page" w:hAnchor="page" w:x="1086" w:y="8739"/>
        <w:shd w:val="clear" w:color="auto" w:fill="auto"/>
        <w:spacing w:after="0" w:line="483" w:lineRule="exact"/>
        <w:ind w:firstLine="760"/>
        <w:jc w:val="both"/>
      </w:pPr>
      <w:r>
        <w:t>Приказом Минэкономразвития России от 23 апреля 2019 г. № 239 утверждена методика расчета показателя «Численность занятых в сфере малого и среднего</w:t>
      </w:r>
    </w:p>
    <w:p w:rsidR="003E6C3C" w:rsidRDefault="00FD7D62">
      <w:pPr>
        <w:pStyle w:val="20"/>
        <w:framePr w:w="10296" w:h="3351" w:hRule="exact" w:wrap="none" w:vAnchor="page" w:hAnchor="page" w:x="1086" w:y="12639"/>
        <w:shd w:val="clear" w:color="auto" w:fill="auto"/>
        <w:spacing w:after="900" w:line="483" w:lineRule="exact"/>
        <w:ind w:firstLine="760"/>
        <w:jc w:val="both"/>
      </w:pPr>
      <w:r>
        <w:t>пре</w:t>
      </w:r>
      <w:r>
        <w:t>дпринимательства, включая индивидуальных предпринимателей» национального проекта (далее - методика).</w:t>
      </w:r>
    </w:p>
    <w:p w:rsidR="003E6C3C" w:rsidRDefault="00FD7D62">
      <w:pPr>
        <w:pStyle w:val="20"/>
        <w:framePr w:w="10296" w:h="3351" w:hRule="exact" w:wrap="none" w:vAnchor="page" w:hAnchor="page" w:x="1086" w:y="12639"/>
        <w:shd w:val="clear" w:color="auto" w:fill="auto"/>
        <w:spacing w:after="0" w:line="483" w:lineRule="exact"/>
        <w:ind w:firstLine="760"/>
        <w:jc w:val="both"/>
      </w:pPr>
      <w:r>
        <w:t>Согласно методике расчет показателя Численность занятых в сфере малого и среднего предпринимательства, включая индивидуальных предпринимателей» осуществляе</w:t>
      </w:r>
      <w:r>
        <w:t>тся как сумма следующих показателей:</w:t>
      </w:r>
    </w:p>
    <w:p w:rsidR="003E6C3C" w:rsidRDefault="00FD7D62">
      <w:pPr>
        <w:pStyle w:val="20"/>
        <w:framePr w:w="10296" w:h="3351" w:hRule="exact" w:wrap="none" w:vAnchor="page" w:hAnchor="page" w:x="1086" w:y="12639"/>
        <w:shd w:val="clear" w:color="auto" w:fill="auto"/>
        <w:spacing w:after="0" w:line="483" w:lineRule="exact"/>
        <w:ind w:firstLine="760"/>
        <w:jc w:val="both"/>
      </w:pPr>
      <w:r>
        <w:t>- сумма среднесписочной численности работников юридических лиц,</w:t>
      </w:r>
    </w:p>
    <w:p w:rsidR="003E6C3C" w:rsidRDefault="003E6C3C">
      <w:pPr>
        <w:rPr>
          <w:sz w:val="2"/>
          <w:szCs w:val="2"/>
        </w:rPr>
        <w:sectPr w:rsidR="003E6C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C3C" w:rsidRDefault="00FD7D62">
      <w:pPr>
        <w:pStyle w:val="a5"/>
        <w:framePr w:wrap="none" w:vAnchor="page" w:hAnchor="page" w:x="6148" w:y="737"/>
        <w:shd w:val="clear" w:color="auto" w:fill="auto"/>
        <w:spacing w:line="220" w:lineRule="exact"/>
      </w:pPr>
      <w:r>
        <w:lastRenderedPageBreak/>
        <w:t>2</w:t>
      </w:r>
    </w:p>
    <w:p w:rsidR="003E6C3C" w:rsidRDefault="00FD7D62">
      <w:pPr>
        <w:pStyle w:val="20"/>
        <w:framePr w:w="10272" w:h="14558" w:hRule="exact" w:wrap="none" w:vAnchor="page" w:hAnchor="page" w:x="1098" w:y="1115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480" w:lineRule="exact"/>
        <w:ind w:firstLine="740"/>
        <w:jc w:val="both"/>
      </w:pPr>
      <w:r>
        <w:t>сумма среднесписочной численности работников индивидуальных предпринимателей;</w:t>
      </w:r>
    </w:p>
    <w:p w:rsidR="003E6C3C" w:rsidRDefault="00FD7D62">
      <w:pPr>
        <w:pStyle w:val="20"/>
        <w:framePr w:w="10272" w:h="14558" w:hRule="exact" w:wrap="none" w:vAnchor="page" w:hAnchor="page" w:x="1098" w:y="1115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вновь созданные юридические лица;</w:t>
      </w:r>
    </w:p>
    <w:p w:rsidR="003E6C3C" w:rsidRDefault="00FD7D62">
      <w:pPr>
        <w:pStyle w:val="20"/>
        <w:framePr w:w="10272" w:h="14558" w:hRule="exact" w:wrap="none" w:vAnchor="page" w:hAnchor="page" w:x="1098" w:y="1115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480" w:lineRule="exact"/>
        <w:ind w:firstLine="740"/>
        <w:jc w:val="both"/>
      </w:pPr>
      <w:r>
        <w:t xml:space="preserve">индивидуальные </w:t>
      </w:r>
      <w:r>
        <w:t>предприниматели, сведения о которых внесены в единый реестр субъектов малого и среднего предпринимательства;</w:t>
      </w:r>
    </w:p>
    <w:p w:rsidR="003E6C3C" w:rsidRDefault="00FD7D62">
      <w:pPr>
        <w:pStyle w:val="20"/>
        <w:framePr w:w="10272" w:h="14558" w:hRule="exact" w:wrap="none" w:vAnchor="page" w:hAnchor="page" w:x="1098" w:y="1115"/>
        <w:numPr>
          <w:ilvl w:val="0"/>
          <w:numId w:val="1"/>
        </w:numPr>
        <w:shd w:val="clear" w:color="auto" w:fill="auto"/>
        <w:tabs>
          <w:tab w:val="left" w:pos="952"/>
        </w:tabs>
        <w:spacing w:after="0" w:line="480" w:lineRule="exact"/>
        <w:ind w:firstLine="740"/>
        <w:jc w:val="both"/>
      </w:pPr>
      <w:r>
        <w:t>количество плательщиков налога на профессиональный доход.</w:t>
      </w:r>
    </w:p>
    <w:p w:rsidR="003E6C3C" w:rsidRDefault="00FD7D62">
      <w:pPr>
        <w:pStyle w:val="20"/>
        <w:framePr w:w="10272" w:h="14558" w:hRule="exact" w:wrap="none" w:vAnchor="page" w:hAnchor="page" w:x="1098" w:y="1115"/>
        <w:shd w:val="clear" w:color="auto" w:fill="auto"/>
        <w:spacing w:after="0" w:line="480" w:lineRule="exact"/>
        <w:ind w:firstLine="740"/>
        <w:jc w:val="both"/>
      </w:pPr>
      <w:r>
        <w:t>Следует отметить, что методика расчета указанного показателя не предполагает учета личных</w:t>
      </w:r>
      <w:r>
        <w:t xml:space="preserve"> подсобных хозяйств в численности занятых в сфере малого и среднего предпринимательства.</w:t>
      </w:r>
    </w:p>
    <w:p w:rsidR="003E6C3C" w:rsidRDefault="00FD7D62">
      <w:pPr>
        <w:pStyle w:val="20"/>
        <w:framePr w:w="10272" w:h="14558" w:hRule="exact" w:wrap="none" w:vAnchor="page" w:hAnchor="page" w:x="1098" w:y="1115"/>
        <w:shd w:val="clear" w:color="auto" w:fill="auto"/>
        <w:spacing w:after="0" w:line="480" w:lineRule="exact"/>
        <w:ind w:firstLine="740"/>
        <w:jc w:val="both"/>
      </w:pPr>
      <w:r>
        <w:t xml:space="preserve">При этом, по данным Всероссийской сельскохозяйственной переписи 2016 года количество личных подсобных хозяйств (ЛПХ) составляет 23,5 </w:t>
      </w:r>
      <w:proofErr w:type="spellStart"/>
      <w:proofErr w:type="gramStart"/>
      <w:r>
        <w:t>млн</w:t>
      </w:r>
      <w:proofErr w:type="spellEnd"/>
      <w:proofErr w:type="gramEnd"/>
      <w:r>
        <w:t xml:space="preserve"> единиц. Из них количество ЛПХ,</w:t>
      </w:r>
      <w:r>
        <w:t xml:space="preserve"> целью производства которых является получение дополнительных или основных денежных средств, составляет 2,3 </w:t>
      </w:r>
      <w:proofErr w:type="spellStart"/>
      <w:proofErr w:type="gramStart"/>
      <w:r>
        <w:t>млн</w:t>
      </w:r>
      <w:proofErr w:type="spellEnd"/>
      <w:proofErr w:type="gramEnd"/>
      <w:r>
        <w:t xml:space="preserve"> единиц, то есть указанные хозяйства фактически ведут производство товарной сельскохозяйственной продукции и являются потенциалом для организации</w:t>
      </w:r>
      <w:r>
        <w:t xml:space="preserve"> малого и среднего предпринимательства в агропромышленном комплексе.</w:t>
      </w:r>
    </w:p>
    <w:p w:rsidR="003E6C3C" w:rsidRDefault="00FD7D62">
      <w:pPr>
        <w:pStyle w:val="20"/>
        <w:framePr w:w="10272" w:h="14558" w:hRule="exact" w:wrap="none" w:vAnchor="page" w:hAnchor="page" w:x="1098" w:y="1115"/>
        <w:shd w:val="clear" w:color="auto" w:fill="auto"/>
        <w:spacing w:after="0" w:line="480" w:lineRule="exact"/>
        <w:ind w:firstLine="740"/>
        <w:jc w:val="both"/>
      </w:pPr>
      <w:r>
        <w:t xml:space="preserve">В соответствии с Федеральным законом от 7 июля 2003 г. </w:t>
      </w:r>
      <w:r>
        <w:rPr>
          <w:rStyle w:val="2Candara13pt-2pt"/>
        </w:rPr>
        <w:t>№2</w:t>
      </w:r>
      <w:r>
        <w:t xml:space="preserve"> 112-ФЗ «О личном подсобном хозяйстве» (далее - Федеральный закон № 112-ФЗ) ЛПХ - форма непредпринимательской деятельности по прои</w:t>
      </w:r>
      <w:r>
        <w:t>зводству и переработке сельскохозяйственной продукции.</w:t>
      </w:r>
    </w:p>
    <w:p w:rsidR="003E6C3C" w:rsidRDefault="00FD7D62">
      <w:pPr>
        <w:pStyle w:val="20"/>
        <w:framePr w:w="10272" w:h="14558" w:hRule="exact" w:wrap="none" w:vAnchor="page" w:hAnchor="page" w:x="1098" w:y="1115"/>
        <w:shd w:val="clear" w:color="auto" w:fill="auto"/>
        <w:spacing w:after="0" w:line="480" w:lineRule="exact"/>
        <w:ind w:firstLine="740"/>
        <w:jc w:val="both"/>
      </w:pPr>
      <w:r>
        <w:t>ЛПХ ведется гражданином или гражданином и совместно проживающими с ним и (или) совместно осуществляющими с ним ведение личного подсобного хозяйства членами его семьи в целях удовлетворения личных потре</w:t>
      </w:r>
      <w:r>
        <w:t>бностей на земельном участке, предоставленном и (или) приобретенном для ведения личного подсобного хозяйства.</w:t>
      </w:r>
    </w:p>
    <w:p w:rsidR="003E6C3C" w:rsidRDefault="00FD7D62">
      <w:pPr>
        <w:pStyle w:val="20"/>
        <w:framePr w:w="10272" w:h="14558" w:hRule="exact" w:wrap="none" w:vAnchor="page" w:hAnchor="page" w:x="1098" w:y="1115"/>
        <w:shd w:val="clear" w:color="auto" w:fill="auto"/>
        <w:spacing w:after="0" w:line="480" w:lineRule="exact"/>
        <w:ind w:firstLine="740"/>
        <w:jc w:val="both"/>
      </w:pPr>
      <w:r>
        <w:t>Согласно пункту 13 статьи 217 Налогового кодекса Российской Федерации (далее - Кодекс) не подлежат налогообложению доходы физических лиц, получаем</w:t>
      </w:r>
      <w:r>
        <w:t xml:space="preserve">ые от </w:t>
      </w:r>
      <w:proofErr w:type="gramStart"/>
      <w:r>
        <w:t>продажи</w:t>
      </w:r>
      <w:proofErr w:type="gramEnd"/>
      <w:r>
        <w:t xml:space="preserve"> выращенной в ЛПХ, находящихся на территории Российской Федерации, продукции животноводства (как в живом виде, так и продуктов убоя в сыром или переработанном виде), продукции растениеводства (как в натуральном,</w:t>
      </w:r>
    </w:p>
    <w:p w:rsidR="003E6C3C" w:rsidRDefault="003E6C3C">
      <w:pPr>
        <w:rPr>
          <w:sz w:val="2"/>
          <w:szCs w:val="2"/>
        </w:rPr>
        <w:sectPr w:rsidR="003E6C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C3C" w:rsidRDefault="00FD7D62">
      <w:pPr>
        <w:pStyle w:val="a5"/>
        <w:framePr w:wrap="none" w:vAnchor="page" w:hAnchor="page" w:x="6155" w:y="737"/>
        <w:shd w:val="clear" w:color="auto" w:fill="auto"/>
        <w:spacing w:line="220" w:lineRule="exact"/>
      </w:pPr>
      <w:r>
        <w:lastRenderedPageBreak/>
        <w:t>3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jc w:val="both"/>
      </w:pPr>
      <w:r>
        <w:t>так и в</w:t>
      </w:r>
      <w:r>
        <w:t xml:space="preserve"> переработанном виде).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ind w:firstLine="760"/>
        <w:jc w:val="both"/>
      </w:pPr>
      <w:r>
        <w:t>Указанные доходы освобождаются от налогообложения при одновременном соблюдении следующих условий: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ind w:firstLine="760"/>
        <w:jc w:val="both"/>
      </w:pPr>
      <w:r>
        <w:t>если общая площадь земельного участка (участков), который (которые) находится (одновременно находятся) на праве собственности и (или) и</w:t>
      </w:r>
      <w:r>
        <w:t>ном праве физических лиц, не превышает максимального размера, установленного в соответствии с пунктом 5 статьи 4 Федерального закона № 112-ФЗ;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ind w:firstLine="760"/>
        <w:jc w:val="both"/>
      </w:pPr>
      <w:r>
        <w:t>если ведение налогоплательщиком личного подсобного хозяйства на указанных участках осуществляется без привлечения</w:t>
      </w:r>
      <w:r>
        <w:t xml:space="preserve"> в соответствии с трудовым законодательством наемных работников.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tabs>
          <w:tab w:val="left" w:pos="7571"/>
        </w:tabs>
        <w:spacing w:after="0" w:line="480" w:lineRule="exact"/>
        <w:ind w:firstLine="760"/>
        <w:jc w:val="both"/>
      </w:pPr>
      <w:r>
        <w:t>Пунктом 5 статьи 4 Федерального закона №</w:t>
      </w:r>
      <w:r>
        <w:tab/>
        <w:t>112-ФЗ установлено,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jc w:val="both"/>
      </w:pPr>
      <w:r>
        <w:t>что максимальный размер общей площади земельных участков, которые могут находиться одновременно на праве собственности и (или) ино</w:t>
      </w:r>
      <w:r>
        <w:t>м праве у граждан, ведущих ЛПХ, устанавливается в размере 0,5 га.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ind w:firstLine="760"/>
        <w:jc w:val="both"/>
      </w:pPr>
      <w:r>
        <w:t>Таким образом, в случае превышения физическими лицами, ведущими ЛПХ порогов, установленных Кодексом, доходы от такого вида деятельности подлежат налогообложению в одном из следующих порядков</w:t>
      </w:r>
      <w:r>
        <w:t>:</w:t>
      </w:r>
    </w:p>
    <w:p w:rsidR="003E6C3C" w:rsidRDefault="00FD7D62">
      <w:pPr>
        <w:pStyle w:val="20"/>
        <w:framePr w:w="10267" w:h="14553" w:hRule="exact" w:wrap="none" w:vAnchor="page" w:hAnchor="page" w:x="1100" w:y="1115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480" w:lineRule="exact"/>
        <w:ind w:firstLine="760"/>
        <w:jc w:val="both"/>
      </w:pPr>
      <w:r>
        <w:t>уплаты налога на доходы физических лиц в установленном порядке;</w:t>
      </w:r>
    </w:p>
    <w:p w:rsidR="003E6C3C" w:rsidRDefault="00FD7D62">
      <w:pPr>
        <w:pStyle w:val="20"/>
        <w:framePr w:w="10267" w:h="14553" w:hRule="exact" w:wrap="none" w:vAnchor="page" w:hAnchor="page" w:x="1100" w:y="1115"/>
        <w:numPr>
          <w:ilvl w:val="0"/>
          <w:numId w:val="1"/>
        </w:numPr>
        <w:shd w:val="clear" w:color="auto" w:fill="auto"/>
        <w:tabs>
          <w:tab w:val="left" w:pos="950"/>
        </w:tabs>
        <w:spacing w:after="0" w:line="480" w:lineRule="exact"/>
        <w:ind w:firstLine="760"/>
        <w:jc w:val="both"/>
      </w:pPr>
      <w:r>
        <w:t xml:space="preserve">уплаты налога лицом, зарегистрированным в качестве юридического лица либо индивидуального предпринимателя, в размере, определенном для соответствующего режима налогообложения, в том числе </w:t>
      </w:r>
      <w:r>
        <w:t>единого сельскохозяйственного налога;</w:t>
      </w:r>
    </w:p>
    <w:p w:rsidR="003E6C3C" w:rsidRDefault="00FD7D62">
      <w:pPr>
        <w:pStyle w:val="20"/>
        <w:framePr w:w="10267" w:h="14553" w:hRule="exact" w:wrap="none" w:vAnchor="page" w:hAnchor="page" w:x="1100" w:y="1115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480" w:lineRule="exact"/>
        <w:ind w:firstLine="760"/>
        <w:jc w:val="both"/>
      </w:pPr>
      <w:r>
        <w:t>уплаты единого сельскохозяйственного налога индивидуальным предпринимателем или юридическим лицом;</w:t>
      </w:r>
    </w:p>
    <w:p w:rsidR="003E6C3C" w:rsidRDefault="00FD7D62">
      <w:pPr>
        <w:pStyle w:val="20"/>
        <w:framePr w:w="10267" w:h="14553" w:hRule="exact" w:wrap="none" w:vAnchor="page" w:hAnchor="page" w:x="1100" w:y="1115"/>
        <w:numPr>
          <w:ilvl w:val="0"/>
          <w:numId w:val="1"/>
        </w:numPr>
        <w:shd w:val="clear" w:color="auto" w:fill="auto"/>
        <w:tabs>
          <w:tab w:val="left" w:pos="1007"/>
        </w:tabs>
        <w:spacing w:after="0" w:line="480" w:lineRule="exact"/>
        <w:ind w:firstLine="760"/>
        <w:jc w:val="both"/>
      </w:pPr>
      <w:r>
        <w:t>уплаты «Налога на профессиональный доход» физическим лицом, применяющим специальный налоговый режим.</w:t>
      </w:r>
    </w:p>
    <w:p w:rsidR="003E6C3C" w:rsidRDefault="00FD7D62">
      <w:pPr>
        <w:pStyle w:val="20"/>
        <w:framePr w:w="10267" w:h="14553" w:hRule="exact" w:wrap="none" w:vAnchor="page" w:hAnchor="page" w:x="1100" w:y="1115"/>
        <w:shd w:val="clear" w:color="auto" w:fill="auto"/>
        <w:spacing w:after="0" w:line="480" w:lineRule="exact"/>
        <w:ind w:firstLine="760"/>
        <w:jc w:val="both"/>
      </w:pPr>
      <w:r>
        <w:t>Необходимо отметит</w:t>
      </w:r>
      <w:r>
        <w:t xml:space="preserve">ь, что начиная с 1 января 2019 года для физических лиц, так и индивидуальных предпринимателей, получающих доходы от деятельности, при осуществлении которой они не имеют работодателя и не </w:t>
      </w:r>
      <w:proofErr w:type="gramStart"/>
      <w:r>
        <w:t>привлекают наемных работников по трудовым договорам предусмотрена</w:t>
      </w:r>
      <w:proofErr w:type="gramEnd"/>
      <w:r>
        <w:t xml:space="preserve"> воз</w:t>
      </w:r>
      <w:r>
        <w:t>можность применения</w:t>
      </w:r>
    </w:p>
    <w:p w:rsidR="003E6C3C" w:rsidRDefault="003E6C3C">
      <w:pPr>
        <w:rPr>
          <w:sz w:val="2"/>
          <w:szCs w:val="2"/>
        </w:rPr>
        <w:sectPr w:rsidR="003E6C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E6C3C" w:rsidRDefault="00FD7D62">
      <w:pPr>
        <w:pStyle w:val="a5"/>
        <w:framePr w:wrap="none" w:vAnchor="page" w:hAnchor="page" w:x="6148" w:y="733"/>
        <w:shd w:val="clear" w:color="auto" w:fill="auto"/>
        <w:spacing w:line="220" w:lineRule="exact"/>
      </w:pPr>
      <w:r>
        <w:lastRenderedPageBreak/>
        <w:t>4</w:t>
      </w:r>
    </w:p>
    <w:p w:rsidR="003E6C3C" w:rsidRDefault="00FD7D62">
      <w:pPr>
        <w:pStyle w:val="20"/>
        <w:framePr w:w="10267" w:h="5850" w:hRule="exact" w:wrap="none" w:vAnchor="page" w:hAnchor="page" w:x="1100" w:y="1117"/>
        <w:shd w:val="clear" w:color="auto" w:fill="auto"/>
        <w:spacing w:after="0" w:line="480" w:lineRule="exact"/>
        <w:jc w:val="both"/>
      </w:pPr>
      <w:proofErr w:type="gramStart"/>
      <w:r>
        <w:t xml:space="preserve">специального льготного режима налогообложения «Налога на профессиональный доход» (НПД), предусмотренного Федеральным законом от 27 ноября 2018 г. № 422-ФЗ «О проведении эксперимента по установлению специального </w:t>
      </w:r>
      <w:r>
        <w:t>налогового режима «Налог на профессиональный доход» в городе федерального значения Москве, в Московской и Калужской областях, а также в Республике Татарстан (Татарстан)» (далее - Закон № 422-ФЗ).</w:t>
      </w:r>
      <w:proofErr w:type="gramEnd"/>
      <w:r>
        <w:t xml:space="preserve"> Согласно Закону № 422-ФЗ проведение эксперимента предусматри</w:t>
      </w:r>
      <w:r>
        <w:t xml:space="preserve">вается до 31 декабря 2028 года. При этом физические лица вправе применять НПД в случае, если доходы от осуществляемой ими деятельности не превысили 2,4 </w:t>
      </w:r>
      <w:proofErr w:type="spellStart"/>
      <w:proofErr w:type="gramStart"/>
      <w:r>
        <w:t>млн</w:t>
      </w:r>
      <w:proofErr w:type="spellEnd"/>
      <w:proofErr w:type="gramEnd"/>
      <w:r>
        <w:t xml:space="preserve"> рублей.</w:t>
      </w:r>
    </w:p>
    <w:p w:rsidR="003E6C3C" w:rsidRDefault="003E6C3C">
      <w:pPr>
        <w:framePr w:w="4087" w:h="547" w:hRule="exact" w:wrap="none" w:vAnchor="page" w:hAnchor="page" w:x="3455" w:y="8059"/>
      </w:pPr>
    </w:p>
    <w:p w:rsidR="003E6C3C" w:rsidRDefault="003E6C3C">
      <w:pPr>
        <w:framePr w:wrap="none" w:vAnchor="page" w:hAnchor="page" w:x="4235" w:y="8776"/>
      </w:pPr>
    </w:p>
    <w:p w:rsidR="003E6C3C" w:rsidRDefault="003E6C3C">
      <w:pPr>
        <w:framePr w:w="3525" w:h="547" w:hRule="exact" w:wrap="none" w:vAnchor="page" w:hAnchor="page" w:x="3358" w:y="9184"/>
      </w:pPr>
    </w:p>
    <w:p w:rsidR="003E6C3C" w:rsidRDefault="003E6C3C">
      <w:pPr>
        <w:framePr w:wrap="none" w:vAnchor="page" w:hAnchor="page" w:x="9703" w:y="8196"/>
      </w:pPr>
    </w:p>
    <w:p w:rsidR="003E6C3C" w:rsidRDefault="003E6C3C">
      <w:pPr>
        <w:framePr w:w="10267" w:h="859" w:hRule="exact" w:wrap="none" w:vAnchor="page" w:hAnchor="page" w:x="1100" w:y="15037"/>
      </w:pPr>
    </w:p>
    <w:p w:rsidR="003E6C3C" w:rsidRDefault="003E6C3C">
      <w:pPr>
        <w:rPr>
          <w:sz w:val="2"/>
          <w:szCs w:val="2"/>
        </w:rPr>
      </w:pPr>
    </w:p>
    <w:sectPr w:rsidR="003E6C3C" w:rsidSect="003E6C3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D62" w:rsidRDefault="00FD7D62" w:rsidP="003E6C3C">
      <w:r>
        <w:separator/>
      </w:r>
    </w:p>
  </w:endnote>
  <w:endnote w:type="continuationSeparator" w:id="0">
    <w:p w:rsidR="00FD7D62" w:rsidRDefault="00FD7D62" w:rsidP="003E6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D62" w:rsidRDefault="00FD7D62"/>
  </w:footnote>
  <w:footnote w:type="continuationSeparator" w:id="0">
    <w:p w:rsidR="00FD7D62" w:rsidRDefault="00FD7D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F2739"/>
    <w:multiLevelType w:val="multilevel"/>
    <w:tmpl w:val="532C3C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3E6C3C"/>
    <w:rsid w:val="003E6C3C"/>
    <w:rsid w:val="00574952"/>
    <w:rsid w:val="00FD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6C3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6C3C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E6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E6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ndara13pt-2pt">
    <w:name w:val="Основной текст (2) + Candara;13 pt;Интервал -2 pt"/>
    <w:basedOn w:val="2"/>
    <w:rsid w:val="003E6C3C"/>
    <w:rPr>
      <w:rFonts w:ascii="Candara" w:eastAsia="Candara" w:hAnsi="Candara" w:cs="Candara"/>
      <w:color w:val="000000"/>
      <w:spacing w:val="-5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6C3C"/>
    <w:rPr>
      <w:rFonts w:ascii="Tahoma" w:eastAsia="Tahoma" w:hAnsi="Tahoma" w:cs="Tahom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sid w:val="003E6C3C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3E6C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20">
    <w:name w:val="Основной текст (2)"/>
    <w:basedOn w:val="a"/>
    <w:link w:val="2"/>
    <w:rsid w:val="003E6C3C"/>
    <w:pPr>
      <w:shd w:val="clear" w:color="auto" w:fill="FFFFFF"/>
      <w:spacing w:after="24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3E6C3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0">
    <w:name w:val="Основной текст (6)"/>
    <w:basedOn w:val="a"/>
    <w:link w:val="6"/>
    <w:rsid w:val="003E6C3C"/>
    <w:pPr>
      <w:shd w:val="clear" w:color="auto" w:fill="FFFFFF"/>
      <w:spacing w:line="161" w:lineRule="exact"/>
      <w:jc w:val="center"/>
    </w:pPr>
    <w:rPr>
      <w:rFonts w:ascii="Tahoma" w:eastAsia="Tahoma" w:hAnsi="Tahoma" w:cs="Tahoma"/>
      <w:sz w:val="13"/>
      <w:szCs w:val="13"/>
    </w:rPr>
  </w:style>
  <w:style w:type="paragraph" w:customStyle="1" w:styleId="70">
    <w:name w:val="Основной текст (7)"/>
    <w:basedOn w:val="a"/>
    <w:link w:val="7"/>
    <w:rsid w:val="003E6C3C"/>
    <w:pPr>
      <w:shd w:val="clear" w:color="auto" w:fill="FFFFFF"/>
      <w:spacing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80">
    <w:name w:val="Основной текст (8)"/>
    <w:basedOn w:val="a"/>
    <w:link w:val="8"/>
    <w:rsid w:val="003E6C3C"/>
    <w:pPr>
      <w:shd w:val="clear" w:color="auto" w:fill="FFFFFF"/>
      <w:spacing w:line="180" w:lineRule="exact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778</Words>
  <Characters>4439</Characters>
  <Application>Microsoft Office Word</Application>
  <DocSecurity>0</DocSecurity>
  <Lines>36</Lines>
  <Paragraphs>10</Paragraphs>
  <ScaleCrop>false</ScaleCrop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Boss-EDDS</dc:creator>
  <cp:lastModifiedBy>Boss-EDDS</cp:lastModifiedBy>
  <cp:revision>1</cp:revision>
  <dcterms:created xsi:type="dcterms:W3CDTF">2019-10-25T04:32:00Z</dcterms:created>
  <dcterms:modified xsi:type="dcterms:W3CDTF">2019-10-25T04:34:00Z</dcterms:modified>
</cp:coreProperties>
</file>