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23" w:rsidRPr="0081746F" w:rsidRDefault="00245A2E" w:rsidP="000A0A9D">
      <w:pPr>
        <w:spacing w:after="0" w:line="240" w:lineRule="auto"/>
        <w:contextualSpacing/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</w:pPr>
      <w:r w:rsidRPr="0081746F">
        <w:rPr>
          <w:rFonts w:ascii="Liberation Serif" w:eastAsia="Times New Roman" w:hAnsi="Liberation Serif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  <w:r w:rsidR="000A0A9D">
        <w:rPr>
          <w:rFonts w:ascii="Liberation Serif" w:eastAsia="Times New Roman" w:hAnsi="Liberation Serif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        </w:t>
      </w:r>
      <w:r w:rsidR="000A0A9D">
        <w:rPr>
          <w:rFonts w:ascii="Liberation Serif" w:hAnsi="Liberation Serif"/>
          <w:noProof/>
          <w:sz w:val="28"/>
          <w:szCs w:val="28"/>
          <w:lang w:eastAsia="ru-RU"/>
        </w:rPr>
        <w:t xml:space="preserve">                                                          </w:t>
      </w:r>
      <w:r w:rsidR="000A0A9D" w:rsidRPr="000A0A9D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A9D">
        <w:rPr>
          <w:rFonts w:ascii="Liberation Serif" w:hAnsi="Liberation Serif"/>
          <w:noProof/>
          <w:sz w:val="28"/>
          <w:szCs w:val="28"/>
          <w:lang w:eastAsia="ru-RU"/>
        </w:rPr>
        <w:t xml:space="preserve">                                      </w:t>
      </w:r>
      <w:r w:rsidR="00696B5C">
        <w:rPr>
          <w:rFonts w:ascii="Liberation Serif" w:hAnsi="Liberation Serif"/>
          <w:noProof/>
          <w:sz w:val="28"/>
          <w:szCs w:val="28"/>
          <w:lang w:eastAsia="ru-RU"/>
        </w:rPr>
        <w:t xml:space="preserve">         </w:t>
      </w:r>
      <w:r w:rsidR="00546AAA">
        <w:rPr>
          <w:rFonts w:ascii="Liberation Serif" w:hAnsi="Liberation Serif"/>
          <w:noProof/>
          <w:sz w:val="28"/>
          <w:szCs w:val="28"/>
          <w:lang w:eastAsia="ru-RU"/>
        </w:rPr>
        <w:t xml:space="preserve"> </w:t>
      </w:r>
      <w:r w:rsidR="002C7B16" w:rsidRPr="0081746F"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  <w:t xml:space="preserve">                                        </w:t>
      </w:r>
      <w:r w:rsidR="009D35C3" w:rsidRPr="0081746F"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  <w:t xml:space="preserve">                                       </w:t>
      </w:r>
      <w:r w:rsidR="006C6B2D" w:rsidRPr="0081746F"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  <w:t xml:space="preserve"> </w:t>
      </w:r>
    </w:p>
    <w:p w:rsidR="00CB4823" w:rsidRPr="0081746F" w:rsidRDefault="00652724" w:rsidP="00CB4823">
      <w:pPr>
        <w:pStyle w:val="ConsPlusTitle"/>
        <w:widowControl/>
        <w:ind w:right="-1"/>
        <w:outlineLvl w:val="0"/>
        <w:rPr>
          <w:rFonts w:ascii="Liberation Serif" w:hAnsi="Liberation Serif" w:cs="Times New Roman"/>
          <w:sz w:val="28"/>
          <w:szCs w:val="28"/>
        </w:rPr>
      </w:pPr>
      <w:r w:rsidRPr="0081746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</w:t>
      </w:r>
      <w:r w:rsidR="00CB4823" w:rsidRPr="0081746F">
        <w:rPr>
          <w:rFonts w:ascii="Liberation Serif" w:hAnsi="Liberation Serif" w:cs="Times New Roman"/>
          <w:sz w:val="28"/>
          <w:szCs w:val="28"/>
        </w:rPr>
        <w:t>ДУМА</w:t>
      </w:r>
    </w:p>
    <w:p w:rsidR="00CB4823" w:rsidRPr="0081746F" w:rsidRDefault="00CB4823" w:rsidP="00CB48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1746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CB4823" w:rsidRPr="0081746F" w:rsidRDefault="007F4339" w:rsidP="00CB482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четвёртого</w:t>
      </w:r>
      <w:r w:rsidR="00CB4823" w:rsidRPr="0081746F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A1067" w:rsidRPr="0081746F" w:rsidRDefault="00CB4823" w:rsidP="006958F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81746F">
        <w:rPr>
          <w:rFonts w:ascii="Liberation Serif" w:hAnsi="Liberation Serif" w:cs="Times New Roman"/>
          <w:sz w:val="28"/>
          <w:szCs w:val="28"/>
        </w:rPr>
        <w:t>РЕШЕНИЕ</w:t>
      </w:r>
    </w:p>
    <w:p w:rsidR="004E1F40" w:rsidRPr="0081746F" w:rsidRDefault="00016A3F" w:rsidP="00016A3F">
      <w:pPr>
        <w:pStyle w:val="Style3"/>
        <w:widowControl/>
        <w:spacing w:line="240" w:lineRule="auto"/>
        <w:jc w:val="left"/>
        <w:rPr>
          <w:rStyle w:val="FontStyle57"/>
          <w:rFonts w:ascii="Liberation Serif" w:hAnsi="Liberation Serif"/>
          <w:b w:val="0"/>
        </w:rPr>
      </w:pPr>
      <w:r w:rsidRPr="0081746F">
        <w:rPr>
          <w:rStyle w:val="FontStyle57"/>
          <w:rFonts w:ascii="Liberation Serif" w:hAnsi="Liberation Serif"/>
          <w:b w:val="0"/>
        </w:rPr>
        <w:t xml:space="preserve">         </w:t>
      </w:r>
      <w:r w:rsidR="00907441">
        <w:rPr>
          <w:rStyle w:val="FontStyle57"/>
          <w:rFonts w:ascii="Liberation Serif" w:hAnsi="Liberation Serif"/>
          <w:b w:val="0"/>
        </w:rPr>
        <w:t xml:space="preserve">  </w:t>
      </w:r>
      <w:r w:rsidR="000D2603">
        <w:rPr>
          <w:rStyle w:val="FontStyle57"/>
          <w:rFonts w:ascii="Liberation Serif" w:hAnsi="Liberation Serif"/>
          <w:b w:val="0"/>
        </w:rPr>
        <w:t xml:space="preserve">от  </w:t>
      </w:r>
      <w:r w:rsidR="00546AAA">
        <w:rPr>
          <w:rStyle w:val="FontStyle57"/>
          <w:rFonts w:ascii="Liberation Serif" w:hAnsi="Liberation Serif"/>
          <w:b w:val="0"/>
        </w:rPr>
        <w:t>18 ноября 2020</w:t>
      </w:r>
      <w:r w:rsidR="00907441">
        <w:rPr>
          <w:rStyle w:val="FontStyle57"/>
          <w:rFonts w:ascii="Liberation Serif" w:hAnsi="Liberation Serif"/>
          <w:b w:val="0"/>
        </w:rPr>
        <w:t xml:space="preserve">                   </w:t>
      </w:r>
      <w:proofErr w:type="spellStart"/>
      <w:r w:rsidR="004E1F40" w:rsidRPr="0081746F">
        <w:rPr>
          <w:rStyle w:val="FontStyle57"/>
          <w:rFonts w:ascii="Liberation Serif" w:hAnsi="Liberation Serif"/>
          <w:b w:val="0"/>
        </w:rPr>
        <w:t>п.г.т</w:t>
      </w:r>
      <w:proofErr w:type="gramStart"/>
      <w:r w:rsidR="004E1F40" w:rsidRPr="0081746F">
        <w:rPr>
          <w:rStyle w:val="FontStyle57"/>
          <w:rFonts w:ascii="Liberation Serif" w:hAnsi="Liberation Serif"/>
          <w:b w:val="0"/>
        </w:rPr>
        <w:t>.М</w:t>
      </w:r>
      <w:proofErr w:type="gramEnd"/>
      <w:r w:rsidR="004E1F40" w:rsidRPr="0081746F">
        <w:rPr>
          <w:rStyle w:val="FontStyle57"/>
          <w:rFonts w:ascii="Liberation Serif" w:hAnsi="Liberation Serif"/>
          <w:b w:val="0"/>
        </w:rPr>
        <w:t>ахн</w:t>
      </w:r>
      <w:r w:rsidR="00B45264" w:rsidRPr="0081746F">
        <w:rPr>
          <w:rStyle w:val="FontStyle57"/>
          <w:rFonts w:ascii="Liberation Serif" w:hAnsi="Liberation Serif"/>
          <w:b w:val="0"/>
        </w:rPr>
        <w:t>ё</w:t>
      </w:r>
      <w:r w:rsidR="004E1F40" w:rsidRPr="0081746F">
        <w:rPr>
          <w:rStyle w:val="FontStyle57"/>
          <w:rFonts w:ascii="Liberation Serif" w:hAnsi="Liberation Serif"/>
          <w:b w:val="0"/>
        </w:rPr>
        <w:t>во</w:t>
      </w:r>
      <w:proofErr w:type="spellEnd"/>
      <w:r w:rsidR="00907441">
        <w:rPr>
          <w:rStyle w:val="FontStyle57"/>
          <w:rFonts w:ascii="Liberation Serif" w:hAnsi="Liberation Serif"/>
          <w:b w:val="0"/>
        </w:rPr>
        <w:t xml:space="preserve">           </w:t>
      </w:r>
      <w:r w:rsidR="000D2603">
        <w:rPr>
          <w:rStyle w:val="FontStyle57"/>
          <w:rFonts w:ascii="Liberation Serif" w:hAnsi="Liberation Serif"/>
          <w:b w:val="0"/>
        </w:rPr>
        <w:t xml:space="preserve">            №</w:t>
      </w:r>
      <w:r w:rsidR="00907441">
        <w:rPr>
          <w:rStyle w:val="FontStyle57"/>
          <w:rFonts w:ascii="Liberation Serif" w:hAnsi="Liberation Serif"/>
          <w:b w:val="0"/>
        </w:rPr>
        <w:t xml:space="preserve"> </w:t>
      </w:r>
      <w:r w:rsidR="00546AAA">
        <w:rPr>
          <w:rStyle w:val="FontStyle57"/>
          <w:rFonts w:ascii="Liberation Serif" w:hAnsi="Liberation Serif"/>
          <w:b w:val="0"/>
        </w:rPr>
        <w:t>20</w:t>
      </w:r>
    </w:p>
    <w:p w:rsidR="001C1AD4" w:rsidRDefault="000D2603" w:rsidP="000A0A9D">
      <w:pPr>
        <w:pStyle w:val="Style3"/>
        <w:widowControl/>
        <w:spacing w:line="240" w:lineRule="auto"/>
        <w:rPr>
          <w:rFonts w:ascii="Liberation Serif" w:eastAsiaTheme="minorHAnsi" w:hAnsi="Liberation Serif"/>
          <w:b/>
          <w:i/>
          <w:sz w:val="28"/>
          <w:szCs w:val="28"/>
        </w:rPr>
      </w:pPr>
      <w:r>
        <w:rPr>
          <w:rStyle w:val="FontStyle57"/>
          <w:rFonts w:ascii="Liberation Serif" w:hAnsi="Liberation Serif"/>
          <w:i/>
        </w:rPr>
        <w:t xml:space="preserve"> </w:t>
      </w:r>
      <w:r w:rsidR="00907441">
        <w:rPr>
          <w:rStyle w:val="FontStyle57"/>
          <w:rFonts w:ascii="Liberation Serif" w:hAnsi="Liberation Serif"/>
          <w:i/>
        </w:rPr>
        <w:t xml:space="preserve">Об </w:t>
      </w:r>
      <w:r w:rsidR="00027736" w:rsidRPr="0081746F">
        <w:rPr>
          <w:rStyle w:val="FontStyle57"/>
          <w:rFonts w:ascii="Liberation Serif" w:hAnsi="Liberation Serif"/>
          <w:i/>
        </w:rPr>
        <w:t>у</w:t>
      </w:r>
      <w:r w:rsidR="004D03DE" w:rsidRPr="0081746F">
        <w:rPr>
          <w:rStyle w:val="FontStyle57"/>
          <w:rFonts w:ascii="Liberation Serif" w:hAnsi="Liberation Serif"/>
          <w:i/>
        </w:rPr>
        <w:t>становлении</w:t>
      </w:r>
      <w:r w:rsidR="00027736" w:rsidRPr="0081746F">
        <w:rPr>
          <w:rStyle w:val="FontStyle57"/>
          <w:rFonts w:ascii="Liberation Serif" w:hAnsi="Liberation Serif"/>
          <w:i/>
        </w:rPr>
        <w:t xml:space="preserve"> размера платы за  содержание </w:t>
      </w:r>
      <w:r w:rsidR="00A362CD">
        <w:rPr>
          <w:rStyle w:val="FontStyle57"/>
          <w:rFonts w:ascii="Liberation Serif" w:hAnsi="Liberation Serif"/>
          <w:i/>
        </w:rPr>
        <w:t>общего имущества</w:t>
      </w:r>
      <w:r w:rsidR="00027736" w:rsidRPr="0081746F">
        <w:rPr>
          <w:rStyle w:val="FontStyle57"/>
          <w:rFonts w:ascii="Liberation Serif" w:hAnsi="Liberation Serif"/>
          <w:i/>
        </w:rPr>
        <w:t xml:space="preserve"> для собственников помещений</w:t>
      </w:r>
      <w:r w:rsidR="001C723C" w:rsidRPr="0081746F">
        <w:rPr>
          <w:rStyle w:val="FontStyle57"/>
          <w:rFonts w:ascii="Liberation Serif" w:hAnsi="Liberation Serif"/>
          <w:i/>
        </w:rPr>
        <w:t xml:space="preserve"> </w:t>
      </w:r>
      <w:r w:rsidR="001C723C" w:rsidRPr="0081746F">
        <w:rPr>
          <w:rFonts w:ascii="Liberation Serif" w:eastAsiaTheme="minorHAnsi" w:hAnsi="Liberation Serif"/>
          <w:b/>
          <w:i/>
          <w:sz w:val="28"/>
          <w:szCs w:val="28"/>
        </w:rPr>
        <w:t>в многоквартирном доме</w:t>
      </w:r>
      <w:r w:rsidR="00027736" w:rsidRPr="0081746F">
        <w:rPr>
          <w:rStyle w:val="FontStyle57"/>
          <w:rFonts w:ascii="Liberation Serif" w:hAnsi="Liberation Serif"/>
          <w:i/>
        </w:rPr>
        <w:t>, которые не приняли решение о выборе способа управления многоквартирным домом,</w:t>
      </w:r>
      <w:r w:rsidR="001C723C" w:rsidRPr="0081746F">
        <w:rPr>
          <w:rStyle w:val="FontStyle57"/>
          <w:rFonts w:ascii="Liberation Serif" w:hAnsi="Liberation Serif"/>
          <w:i/>
        </w:rPr>
        <w:t xml:space="preserve"> и собственников</w:t>
      </w:r>
      <w:r w:rsidR="001C723C" w:rsidRPr="0081746F">
        <w:rPr>
          <w:rFonts w:ascii="Liberation Serif" w:eastAsiaTheme="minorHAnsi" w:hAnsi="Liberation Serif"/>
          <w:i/>
          <w:sz w:val="28"/>
          <w:szCs w:val="28"/>
        </w:rPr>
        <w:t xml:space="preserve"> </w:t>
      </w:r>
      <w:r w:rsidR="001C723C" w:rsidRPr="0081746F">
        <w:rPr>
          <w:rFonts w:ascii="Liberation Serif" w:eastAsiaTheme="minorHAnsi" w:hAnsi="Liberation Serif"/>
          <w:b/>
          <w:i/>
          <w:sz w:val="28"/>
          <w:szCs w:val="28"/>
        </w:rPr>
        <w:t>помещений в многоквартирном доме,</w:t>
      </w:r>
      <w:r w:rsidR="004D03DE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 которые на общем собрании не приняли решение об установлении </w:t>
      </w:r>
      <w:r w:rsidR="001C723C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4D03DE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размера платы за содержание </w:t>
      </w:r>
      <w:r w:rsidR="003B2A9E" w:rsidRPr="0081746F">
        <w:rPr>
          <w:rFonts w:ascii="Liberation Serif" w:eastAsiaTheme="minorHAnsi" w:hAnsi="Liberation Serif"/>
          <w:b/>
          <w:i/>
          <w:sz w:val="28"/>
          <w:szCs w:val="28"/>
        </w:rPr>
        <w:t>общего имущества в многоквартирном доме</w:t>
      </w:r>
    </w:p>
    <w:p w:rsidR="00FA1067" w:rsidRPr="0081746F" w:rsidRDefault="003B2A9E" w:rsidP="000A0A9D">
      <w:pPr>
        <w:pStyle w:val="Style3"/>
        <w:widowControl/>
        <w:spacing w:line="240" w:lineRule="auto"/>
        <w:rPr>
          <w:rStyle w:val="FontStyle58"/>
          <w:rFonts w:ascii="Liberation Serif" w:hAnsi="Liberation Serif"/>
        </w:rPr>
      </w:pPr>
      <w:r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8B6734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в </w:t>
      </w:r>
      <w:proofErr w:type="spellStart"/>
      <w:r w:rsidR="008B6734" w:rsidRPr="0081746F">
        <w:rPr>
          <w:rFonts w:ascii="Liberation Serif" w:eastAsiaTheme="minorHAnsi" w:hAnsi="Liberation Serif"/>
          <w:b/>
          <w:i/>
          <w:sz w:val="28"/>
          <w:szCs w:val="28"/>
        </w:rPr>
        <w:t>Махнёвском</w:t>
      </w:r>
      <w:proofErr w:type="spellEnd"/>
      <w:r w:rsidR="008B6734" w:rsidRPr="0081746F">
        <w:rPr>
          <w:rFonts w:ascii="Liberation Serif" w:eastAsiaTheme="minorHAnsi" w:hAnsi="Liberation Serif"/>
          <w:b/>
          <w:i/>
          <w:sz w:val="28"/>
          <w:szCs w:val="28"/>
        </w:rPr>
        <w:t xml:space="preserve"> муниципальном образовании</w:t>
      </w:r>
    </w:p>
    <w:p w:rsidR="005F28A8" w:rsidRPr="0081746F" w:rsidRDefault="0058562E" w:rsidP="005F28A8">
      <w:pPr>
        <w:pStyle w:val="Style5"/>
        <w:widowControl/>
        <w:ind w:firstLine="0"/>
        <w:rPr>
          <w:rFonts w:ascii="Liberation Serif" w:hAnsi="Liberation Serif"/>
          <w:sz w:val="28"/>
          <w:szCs w:val="28"/>
          <w:u w:val="single"/>
        </w:rPr>
      </w:pPr>
      <w:r w:rsidRPr="0081746F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5F28A8" w:rsidRPr="0081746F">
        <w:rPr>
          <w:rFonts w:ascii="Liberation Serif" w:hAnsi="Liberation Serif"/>
          <w:sz w:val="28"/>
          <w:szCs w:val="28"/>
        </w:rPr>
        <w:t>В соответствии с пунктом 3 статьи 156 и пунктом 4 статьи 158 Жилищного кодекса Российской Федерации, Федеральными законами от 30 декабря 2004 года № 210-ФЗ «Об основах регулирования тарифов организации коммунального комплекса»,   от 06 октября 2003 года № 131-ФЗ «Об общих принципах организации местного самоуправления в Российской Федерации», постановлениями  Правительства  Российской Федерации от 13 августа 2006 года № 491 «Об утверждении правил содержания</w:t>
      </w:r>
      <w:proofErr w:type="gramEnd"/>
      <w:r w:rsidR="005F28A8" w:rsidRPr="0081746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F28A8" w:rsidRPr="0081746F">
        <w:rPr>
          <w:rFonts w:ascii="Liberation Serif" w:hAnsi="Liberation Serif"/>
          <w:sz w:val="28"/>
          <w:szCs w:val="28"/>
        </w:rPr>
        <w:t>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 от 03 апреля 2013 года № 290 «О минимальном перечне услуг и работ, необходимых для обеспечения надлежащего содержания общего</w:t>
      </w:r>
      <w:proofErr w:type="gramEnd"/>
      <w:r w:rsidR="005F28A8" w:rsidRPr="0081746F">
        <w:rPr>
          <w:rFonts w:ascii="Liberation Serif" w:hAnsi="Liberation Serif"/>
          <w:sz w:val="28"/>
          <w:szCs w:val="28"/>
        </w:rPr>
        <w:t xml:space="preserve"> имущества в многоквартирном доме, и порядке их оказания и выполнения», </w:t>
      </w:r>
      <w:r w:rsidR="00F15231" w:rsidRPr="0081746F">
        <w:rPr>
          <w:rFonts w:ascii="Liberation Serif" w:hAnsi="Liberation Serif"/>
          <w:sz w:val="28"/>
          <w:szCs w:val="28"/>
        </w:rPr>
        <w:t xml:space="preserve"> </w:t>
      </w:r>
      <w:r w:rsidR="005F28A8" w:rsidRPr="0081746F">
        <w:rPr>
          <w:rFonts w:ascii="Liberation Serif" w:hAnsi="Liberation Serif"/>
          <w:sz w:val="28"/>
          <w:szCs w:val="28"/>
        </w:rPr>
        <w:t xml:space="preserve"> руководствуясь Уставом Махнёвского муниципального образования,  Дума Махнёвского муниципального образования</w:t>
      </w:r>
    </w:p>
    <w:p w:rsidR="00FA1067" w:rsidRPr="0081746F" w:rsidRDefault="00264EE9" w:rsidP="00833216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  <w:r w:rsidRPr="0081746F">
        <w:rPr>
          <w:rStyle w:val="FontStyle57"/>
          <w:rFonts w:ascii="Liberation Serif" w:hAnsi="Liberation Serif"/>
        </w:rPr>
        <w:t>РЕШИЛА:</w:t>
      </w:r>
    </w:p>
    <w:p w:rsidR="000A0A9D" w:rsidRPr="0081746F" w:rsidRDefault="00F15231" w:rsidP="000A0A9D">
      <w:pPr>
        <w:spacing w:after="0" w:line="240" w:lineRule="auto"/>
        <w:jc w:val="both"/>
        <w:rPr>
          <w:rStyle w:val="FontStyle57"/>
          <w:rFonts w:ascii="Liberation Serif" w:hAnsi="Liberation Serif"/>
          <w:b w:val="0"/>
        </w:rPr>
      </w:pPr>
      <w:r w:rsidRPr="0081746F">
        <w:rPr>
          <w:rStyle w:val="FontStyle58"/>
          <w:rFonts w:ascii="Liberation Serif" w:hAnsi="Liberation Serif"/>
        </w:rPr>
        <w:t xml:space="preserve">       </w:t>
      </w:r>
      <w:r w:rsidR="006D0D31" w:rsidRPr="0081746F">
        <w:rPr>
          <w:rStyle w:val="FontStyle58"/>
          <w:rFonts w:ascii="Liberation Serif" w:hAnsi="Liberation Serif"/>
        </w:rPr>
        <w:t>1</w:t>
      </w:r>
      <w:r w:rsidR="000A0A9D">
        <w:rPr>
          <w:rStyle w:val="FontStyle58"/>
          <w:rFonts w:ascii="Liberation Serif" w:hAnsi="Liberation Serif"/>
        </w:rPr>
        <w:t>.</w:t>
      </w:r>
      <w:r w:rsidR="000D2603">
        <w:rPr>
          <w:rStyle w:val="FontStyle58"/>
          <w:rFonts w:ascii="Liberation Serif" w:hAnsi="Liberation Serif"/>
        </w:rPr>
        <w:t xml:space="preserve"> </w:t>
      </w:r>
      <w:r w:rsidR="00907441" w:rsidRPr="00907441">
        <w:rPr>
          <w:rStyle w:val="FontStyle57"/>
          <w:rFonts w:ascii="Liberation Serif" w:hAnsi="Liberation Serif"/>
          <w:b w:val="0"/>
        </w:rPr>
        <w:t xml:space="preserve"> </w:t>
      </w:r>
      <w:r w:rsidR="000D2603">
        <w:rPr>
          <w:rStyle w:val="FontStyle57"/>
          <w:rFonts w:ascii="Liberation Serif" w:hAnsi="Liberation Serif"/>
          <w:b w:val="0"/>
        </w:rPr>
        <w:t>У</w:t>
      </w:r>
      <w:r w:rsidR="00907441" w:rsidRPr="00907441">
        <w:rPr>
          <w:rStyle w:val="FontStyle57"/>
          <w:rFonts w:ascii="Liberation Serif" w:hAnsi="Liberation Serif"/>
          <w:b w:val="0"/>
        </w:rPr>
        <w:t>станов</w:t>
      </w:r>
      <w:r w:rsidR="000D2603">
        <w:rPr>
          <w:rStyle w:val="FontStyle57"/>
          <w:rFonts w:ascii="Liberation Serif" w:hAnsi="Liberation Serif"/>
          <w:b w:val="0"/>
        </w:rPr>
        <w:t xml:space="preserve">ить </w:t>
      </w:r>
      <w:r w:rsidR="00907441" w:rsidRPr="00907441">
        <w:rPr>
          <w:rStyle w:val="FontStyle57"/>
          <w:rFonts w:ascii="Liberation Serif" w:hAnsi="Liberation Serif"/>
          <w:b w:val="0"/>
        </w:rPr>
        <w:t>размер платы за  содержание общего имущества</w:t>
      </w:r>
      <w:r w:rsidR="00F95391">
        <w:rPr>
          <w:rStyle w:val="FontStyle57"/>
          <w:rFonts w:ascii="Liberation Serif" w:hAnsi="Liberation Serif"/>
          <w:b w:val="0"/>
        </w:rPr>
        <w:t xml:space="preserve"> </w:t>
      </w:r>
      <w:r w:rsidR="00907441" w:rsidRPr="00907441">
        <w:rPr>
          <w:rStyle w:val="FontStyle57"/>
          <w:rFonts w:ascii="Liberation Serif" w:hAnsi="Liberation Serif"/>
          <w:b w:val="0"/>
        </w:rPr>
        <w:t xml:space="preserve">для собственников помещений в многоквартирном доме, которые не приняли решение о выборе способа управления многоквартирным домом, и собственников помещений в многоквартирном доме, которые на общем собрании не приняли решение об установлении  размера платы за содержание общего имущества в многоквартирном доме в </w:t>
      </w:r>
      <w:proofErr w:type="spellStart"/>
      <w:r w:rsidR="00907441" w:rsidRPr="00907441">
        <w:rPr>
          <w:rStyle w:val="FontStyle57"/>
          <w:rFonts w:ascii="Liberation Serif" w:hAnsi="Liberation Serif"/>
          <w:b w:val="0"/>
        </w:rPr>
        <w:t>Махнё</w:t>
      </w:r>
      <w:r w:rsidR="00F95391">
        <w:rPr>
          <w:rStyle w:val="FontStyle57"/>
          <w:rFonts w:ascii="Liberation Serif" w:hAnsi="Liberation Serif"/>
          <w:b w:val="0"/>
        </w:rPr>
        <w:t>вском</w:t>
      </w:r>
      <w:proofErr w:type="spellEnd"/>
      <w:r w:rsidR="00F95391">
        <w:rPr>
          <w:rStyle w:val="FontStyle57"/>
          <w:rFonts w:ascii="Liberation Serif" w:hAnsi="Liberation Serif"/>
          <w:b w:val="0"/>
        </w:rPr>
        <w:t xml:space="preserve"> муниципальном образовании</w:t>
      </w:r>
      <w:r w:rsidR="000A0A9D">
        <w:rPr>
          <w:rStyle w:val="FontStyle57"/>
          <w:rFonts w:ascii="Liberation Serif" w:hAnsi="Liberation Serif"/>
          <w:b w:val="0"/>
        </w:rPr>
        <w:t xml:space="preserve">, </w:t>
      </w:r>
      <w:r w:rsidR="000A0A9D" w:rsidRPr="0081746F">
        <w:rPr>
          <w:rStyle w:val="FontStyle57"/>
          <w:rFonts w:ascii="Liberation Serif" w:hAnsi="Liberation Serif"/>
          <w:b w:val="0"/>
        </w:rPr>
        <w:t>согласно Приложению № 1 к настоящему Решению.</w:t>
      </w:r>
    </w:p>
    <w:p w:rsidR="000A0A9D" w:rsidRPr="0081746F" w:rsidRDefault="000A0A9D" w:rsidP="000A0A9D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1746F">
        <w:rPr>
          <w:rFonts w:ascii="Liberation Serif" w:hAnsi="Liberation Serif"/>
          <w:sz w:val="28"/>
          <w:szCs w:val="28"/>
        </w:rPr>
        <w:t>2.Настоящее Решение вступает в силу с 01.01.202</w:t>
      </w:r>
      <w:r w:rsidR="00195A94">
        <w:rPr>
          <w:rFonts w:ascii="Liberation Serif" w:hAnsi="Liberation Serif"/>
          <w:sz w:val="28"/>
          <w:szCs w:val="28"/>
        </w:rPr>
        <w:t>1</w:t>
      </w:r>
      <w:r w:rsidRPr="0081746F">
        <w:rPr>
          <w:rFonts w:ascii="Liberation Serif" w:hAnsi="Liberation Serif"/>
          <w:sz w:val="28"/>
          <w:szCs w:val="28"/>
        </w:rPr>
        <w:t xml:space="preserve"> года.</w:t>
      </w:r>
    </w:p>
    <w:p w:rsidR="000A0A9D" w:rsidRPr="0081746F" w:rsidRDefault="000A0A9D" w:rsidP="000A0A9D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81746F">
        <w:rPr>
          <w:rFonts w:ascii="Liberation Serif" w:hAnsi="Liberation Serif"/>
          <w:sz w:val="28"/>
          <w:szCs w:val="28"/>
        </w:rPr>
        <w:t xml:space="preserve"> </w:t>
      </w:r>
      <w:r w:rsidRPr="0081746F">
        <w:rPr>
          <w:rStyle w:val="FontStyle58"/>
          <w:rFonts w:ascii="Liberation Serif" w:hAnsi="Liberation Serif"/>
        </w:rPr>
        <w:t xml:space="preserve">       3. Настоящее Решение опубликовать в газете «Алапаевская искра» и разместить на   сайте Махнёвского муниципального образования в сети  «Интернет».</w:t>
      </w:r>
    </w:p>
    <w:p w:rsidR="000A0A9D" w:rsidRPr="0081746F" w:rsidRDefault="000A0A9D" w:rsidP="000A0A9D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 xml:space="preserve">      4. </w:t>
      </w:r>
      <w:proofErr w:type="gramStart"/>
      <w:r w:rsidRPr="0081746F">
        <w:rPr>
          <w:rStyle w:val="FontStyle58"/>
          <w:rFonts w:ascii="Liberation Serif" w:hAnsi="Liberation Serif"/>
        </w:rPr>
        <w:t>Контроль за</w:t>
      </w:r>
      <w:proofErr w:type="gramEnd"/>
      <w:r w:rsidRPr="0081746F">
        <w:rPr>
          <w:rStyle w:val="FontStyle58"/>
          <w:rFonts w:ascii="Liberation Serif" w:hAnsi="Liberation Serif"/>
        </w:rPr>
        <w:t xml:space="preserve"> исполнением настоящего Решения возложить на постоянную комиссию по экономической политике, бюджету, финансам и налогам (</w:t>
      </w:r>
      <w:proofErr w:type="spellStart"/>
      <w:r>
        <w:rPr>
          <w:rStyle w:val="FontStyle58"/>
          <w:rFonts w:ascii="Liberation Serif" w:hAnsi="Liberation Serif"/>
        </w:rPr>
        <w:t>С.В.Дюкова</w:t>
      </w:r>
      <w:proofErr w:type="spellEnd"/>
      <w:r w:rsidRPr="0081746F">
        <w:rPr>
          <w:rStyle w:val="FontStyle58"/>
          <w:rFonts w:ascii="Liberation Serif" w:hAnsi="Liberation Serif"/>
        </w:rPr>
        <w:t>).</w:t>
      </w:r>
    </w:p>
    <w:p w:rsidR="00347CAB" w:rsidRPr="0081746F" w:rsidRDefault="00347CAB" w:rsidP="000A0A9D">
      <w:pPr>
        <w:spacing w:after="0" w:line="240" w:lineRule="auto"/>
        <w:jc w:val="both"/>
        <w:rPr>
          <w:rStyle w:val="FontStyle58"/>
          <w:rFonts w:ascii="Liberation Serif" w:hAnsi="Liberation Serif"/>
        </w:rPr>
      </w:pPr>
    </w:p>
    <w:p w:rsidR="00942DAE" w:rsidRPr="0081746F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>Председатель Думы</w:t>
      </w:r>
    </w:p>
    <w:p w:rsidR="00347CAB" w:rsidRPr="0081746F" w:rsidRDefault="00F82034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 xml:space="preserve">муниципального образования                                             </w:t>
      </w:r>
      <w:r w:rsidR="00776586" w:rsidRPr="0081746F">
        <w:rPr>
          <w:rStyle w:val="FontStyle58"/>
          <w:rFonts w:ascii="Liberation Serif" w:hAnsi="Liberation Serif"/>
        </w:rPr>
        <w:t xml:space="preserve">                 </w:t>
      </w:r>
      <w:r w:rsidR="00F95391" w:rsidRPr="00F95391">
        <w:rPr>
          <w:rStyle w:val="FontStyle58"/>
          <w:rFonts w:ascii="Liberation Serif" w:hAnsi="Liberation Serif"/>
        </w:rPr>
        <w:t>С.Г Алышов</w:t>
      </w:r>
    </w:p>
    <w:p w:rsidR="006279BD" w:rsidRPr="0081746F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7C5569" w:rsidRPr="0081746F" w:rsidRDefault="006279BD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>Глава муниципального образования                                                   А.В. Лызлов</w:t>
      </w:r>
    </w:p>
    <w:p w:rsidR="00366D5C" w:rsidRPr="0081746F" w:rsidRDefault="00366D5C" w:rsidP="00545F52">
      <w:pPr>
        <w:pStyle w:val="Style3"/>
        <w:widowControl/>
        <w:tabs>
          <w:tab w:val="left" w:pos="426"/>
        </w:tabs>
        <w:spacing w:line="240" w:lineRule="auto"/>
        <w:ind w:left="5954"/>
        <w:jc w:val="both"/>
        <w:rPr>
          <w:rStyle w:val="FontStyle58"/>
          <w:rFonts w:ascii="Liberation Serif" w:hAnsi="Liberation Serif"/>
        </w:rPr>
        <w:sectPr w:rsidR="00366D5C" w:rsidRPr="0081746F" w:rsidSect="000A0A9D">
          <w:pgSz w:w="11906" w:h="16838"/>
          <w:pgMar w:top="426" w:right="567" w:bottom="284" w:left="1134" w:header="709" w:footer="709" w:gutter="0"/>
          <w:cols w:space="708"/>
          <w:docGrid w:linePitch="360"/>
        </w:sectPr>
      </w:pPr>
    </w:p>
    <w:p w:rsidR="002304E0" w:rsidRPr="0081746F" w:rsidRDefault="002304E0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lastRenderedPageBreak/>
        <w:t xml:space="preserve">Приложение № </w:t>
      </w:r>
      <w:r w:rsidR="00116929" w:rsidRPr="0081746F">
        <w:rPr>
          <w:rStyle w:val="FontStyle58"/>
          <w:rFonts w:ascii="Liberation Serif" w:hAnsi="Liberation Serif"/>
        </w:rPr>
        <w:t>1</w:t>
      </w:r>
    </w:p>
    <w:p w:rsidR="00302E0B" w:rsidRPr="0081746F" w:rsidRDefault="00302E0B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>к Решению Думы Махнёвского</w:t>
      </w:r>
    </w:p>
    <w:p w:rsidR="00302E0B" w:rsidRDefault="00302E0B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>муниципального образования</w:t>
      </w:r>
    </w:p>
    <w:p w:rsidR="00195A94" w:rsidRPr="0081746F" w:rsidRDefault="00195A94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>
        <w:rPr>
          <w:rStyle w:val="FontStyle58"/>
          <w:rFonts w:ascii="Liberation Serif" w:hAnsi="Liberation Serif"/>
        </w:rPr>
        <w:t xml:space="preserve">от  </w:t>
      </w:r>
      <w:r w:rsidR="001C1AD4">
        <w:rPr>
          <w:rStyle w:val="FontStyle58"/>
          <w:rFonts w:ascii="Liberation Serif" w:hAnsi="Liberation Serif"/>
        </w:rPr>
        <w:t>18.11.2020</w:t>
      </w:r>
      <w:r>
        <w:rPr>
          <w:rStyle w:val="FontStyle58"/>
          <w:rFonts w:ascii="Liberation Serif" w:hAnsi="Liberation Serif"/>
        </w:rPr>
        <w:t xml:space="preserve">       №</w:t>
      </w:r>
      <w:r w:rsidR="001C1AD4">
        <w:rPr>
          <w:rStyle w:val="FontStyle58"/>
          <w:rFonts w:ascii="Liberation Serif" w:hAnsi="Liberation Serif"/>
        </w:rPr>
        <w:t xml:space="preserve"> 20</w:t>
      </w:r>
    </w:p>
    <w:p w:rsidR="00394572" w:rsidRPr="0081746F" w:rsidRDefault="00394572" w:rsidP="00394572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81746F">
        <w:rPr>
          <w:rStyle w:val="FontStyle57"/>
          <w:rFonts w:ascii="Liberation Serif" w:hAnsi="Liberation Serif"/>
          <w:b w:val="0"/>
        </w:rPr>
        <w:t xml:space="preserve">   </w:t>
      </w:r>
      <w:r>
        <w:rPr>
          <w:rStyle w:val="FontStyle57"/>
          <w:rFonts w:ascii="Liberation Serif" w:hAnsi="Liberation Serif"/>
        </w:rPr>
        <w:t>Размер платы за</w:t>
      </w:r>
      <w:r w:rsidRPr="0081746F">
        <w:rPr>
          <w:rStyle w:val="FontStyle57"/>
          <w:rFonts w:ascii="Liberation Serif" w:hAnsi="Liberation Serif"/>
        </w:rPr>
        <w:t xml:space="preserve"> содержание общего имущества </w:t>
      </w:r>
      <w:r w:rsidRPr="0081746F">
        <w:rPr>
          <w:rFonts w:ascii="Liberation Serif" w:hAnsi="Liberation Serif"/>
          <w:b/>
          <w:sz w:val="28"/>
          <w:szCs w:val="28"/>
        </w:rPr>
        <w:t xml:space="preserve">и   </w:t>
      </w:r>
      <w:r w:rsidRPr="0081746F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минимальный перечень работ и услуг, </w:t>
      </w:r>
    </w:p>
    <w:p w:rsidR="00394572" w:rsidRPr="0081746F" w:rsidRDefault="00394572" w:rsidP="0039457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81746F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необходимых</w:t>
      </w:r>
      <w:proofErr w:type="gramEnd"/>
      <w:r w:rsidRPr="0081746F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для обеспечения надлежащего содержания общего имущества в многоквартирном </w:t>
      </w:r>
      <w:r w:rsidRPr="0081746F">
        <w:rPr>
          <w:rFonts w:ascii="Liberation Serif" w:hAnsi="Liberation Serif"/>
          <w:b/>
          <w:bCs/>
          <w:sz w:val="28"/>
          <w:szCs w:val="28"/>
        </w:rPr>
        <w:t>доме</w:t>
      </w:r>
    </w:p>
    <w:p w:rsidR="00394572" w:rsidRPr="0081746F" w:rsidRDefault="00394572" w:rsidP="00394572">
      <w:pPr>
        <w:spacing w:after="0" w:line="240" w:lineRule="auto"/>
        <w:jc w:val="center"/>
        <w:rPr>
          <w:rStyle w:val="FontStyle57"/>
          <w:rFonts w:ascii="Liberation Serif" w:hAnsi="Liberation Serif"/>
        </w:rPr>
      </w:pPr>
      <w:r w:rsidRPr="0081746F">
        <w:rPr>
          <w:rFonts w:ascii="Liberation Serif" w:hAnsi="Liberation Serif"/>
          <w:sz w:val="28"/>
          <w:szCs w:val="28"/>
        </w:rPr>
        <w:t xml:space="preserve">  </w:t>
      </w:r>
      <w:r w:rsidRPr="0081746F">
        <w:rPr>
          <w:rStyle w:val="FontStyle57"/>
          <w:rFonts w:ascii="Liberation Serif" w:hAnsi="Liberation Serif"/>
        </w:rPr>
        <w:t xml:space="preserve">  для собственников помещений </w:t>
      </w:r>
      <w:r w:rsidRPr="0081746F">
        <w:rPr>
          <w:rFonts w:ascii="Liberation Serif" w:hAnsi="Liberation Serif"/>
          <w:sz w:val="28"/>
          <w:szCs w:val="28"/>
        </w:rPr>
        <w:t xml:space="preserve">в </w:t>
      </w:r>
      <w:r w:rsidRPr="0081746F">
        <w:rPr>
          <w:rFonts w:ascii="Liberation Serif" w:hAnsi="Liberation Serif"/>
          <w:b/>
          <w:sz w:val="28"/>
          <w:szCs w:val="28"/>
        </w:rPr>
        <w:t>многоквартирном доме</w:t>
      </w:r>
      <w:r w:rsidRPr="0081746F">
        <w:rPr>
          <w:rStyle w:val="FontStyle57"/>
          <w:rFonts w:ascii="Liberation Serif" w:hAnsi="Liberation Serif"/>
          <w:b w:val="0"/>
        </w:rPr>
        <w:t>,</w:t>
      </w:r>
      <w:r w:rsidRPr="0081746F">
        <w:rPr>
          <w:rStyle w:val="FontStyle57"/>
          <w:rFonts w:ascii="Liberation Serif" w:hAnsi="Liberation Serif"/>
        </w:rPr>
        <w:t xml:space="preserve"> которые не приняли решение</w:t>
      </w:r>
    </w:p>
    <w:p w:rsidR="00394572" w:rsidRPr="0081746F" w:rsidRDefault="00394572" w:rsidP="0039457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1746F">
        <w:rPr>
          <w:rStyle w:val="FontStyle57"/>
          <w:rFonts w:ascii="Liberation Serif" w:hAnsi="Liberation Serif"/>
        </w:rPr>
        <w:t xml:space="preserve"> о выборе способа управления многоквартирным домом, и собственников</w:t>
      </w:r>
      <w:r w:rsidRPr="0081746F">
        <w:rPr>
          <w:rFonts w:ascii="Liberation Serif" w:hAnsi="Liberation Serif"/>
          <w:sz w:val="28"/>
          <w:szCs w:val="28"/>
        </w:rPr>
        <w:t xml:space="preserve"> </w:t>
      </w:r>
      <w:r w:rsidRPr="0081746F">
        <w:rPr>
          <w:rFonts w:ascii="Liberation Serif" w:hAnsi="Liberation Serif"/>
          <w:b/>
          <w:sz w:val="28"/>
          <w:szCs w:val="28"/>
        </w:rPr>
        <w:t xml:space="preserve">помещений </w:t>
      </w:r>
    </w:p>
    <w:p w:rsidR="00394572" w:rsidRPr="0081746F" w:rsidRDefault="00394572" w:rsidP="0039457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1746F">
        <w:rPr>
          <w:rFonts w:ascii="Liberation Serif" w:hAnsi="Liberation Serif"/>
          <w:b/>
          <w:sz w:val="28"/>
          <w:szCs w:val="28"/>
        </w:rPr>
        <w:t xml:space="preserve">в многоквартирном доме, </w:t>
      </w:r>
      <w:proofErr w:type="gramStart"/>
      <w:r w:rsidRPr="0081746F">
        <w:rPr>
          <w:rFonts w:ascii="Liberation Serif" w:hAnsi="Liberation Serif"/>
          <w:b/>
          <w:sz w:val="28"/>
          <w:szCs w:val="28"/>
        </w:rPr>
        <w:t>которые</w:t>
      </w:r>
      <w:proofErr w:type="gramEnd"/>
      <w:r w:rsidRPr="0081746F">
        <w:rPr>
          <w:rFonts w:ascii="Liberation Serif" w:hAnsi="Liberation Serif"/>
          <w:b/>
          <w:sz w:val="28"/>
          <w:szCs w:val="28"/>
        </w:rPr>
        <w:t xml:space="preserve"> на общем собрании не приняли решение</w:t>
      </w:r>
    </w:p>
    <w:p w:rsidR="00394572" w:rsidRPr="0081746F" w:rsidRDefault="00394572" w:rsidP="0039457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об установлении   размера </w:t>
      </w:r>
      <w:r w:rsidRPr="0081746F">
        <w:rPr>
          <w:rFonts w:ascii="Liberation Serif" w:hAnsi="Liberation Serif"/>
          <w:b/>
          <w:sz w:val="28"/>
          <w:szCs w:val="28"/>
        </w:rPr>
        <w:t xml:space="preserve">платы за содержание общего имущества </w:t>
      </w:r>
    </w:p>
    <w:p w:rsidR="00394572" w:rsidRPr="0081746F" w:rsidRDefault="00394572" w:rsidP="0039457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1746F">
        <w:rPr>
          <w:rFonts w:ascii="Liberation Serif" w:hAnsi="Liberation Serif"/>
          <w:b/>
          <w:sz w:val="28"/>
          <w:szCs w:val="28"/>
        </w:rPr>
        <w:t>в многоквартирном доме в Махнёвском муниципальном образовании</w:t>
      </w:r>
    </w:p>
    <w:p w:rsidR="00394572" w:rsidRPr="0081746F" w:rsidRDefault="00394572" w:rsidP="00394572">
      <w:pPr>
        <w:spacing w:after="0" w:line="240" w:lineRule="auto"/>
        <w:jc w:val="center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tbl>
      <w:tblPr>
        <w:tblW w:w="15337" w:type="dxa"/>
        <w:jc w:val="center"/>
        <w:tblInd w:w="-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1433"/>
        <w:gridCol w:w="1981"/>
      </w:tblGrid>
      <w:tr w:rsidR="00394572" w:rsidRPr="0081746F" w:rsidTr="00032227">
        <w:trPr>
          <w:trHeight w:val="700"/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3414" w:type="dxa"/>
            <w:gridSpan w:val="2"/>
            <w:tcBorders>
              <w:right w:val="single" w:sz="4" w:space="0" w:color="auto"/>
            </w:tcBorders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Двухэтажные капитальные дома </w:t>
            </w:r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 xml:space="preserve">с. Измоденово, ул. А. </w:t>
            </w:r>
            <w:proofErr w:type="gramStart"/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Азовской</w:t>
            </w:r>
            <w:proofErr w:type="gramEnd"/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 xml:space="preserve"> 35, с. Кишкинское ул. Карелина 6, </w:t>
            </w:r>
            <w:proofErr w:type="spellStart"/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 xml:space="preserve">. Махнёво ул. Советская 146, </w:t>
            </w:r>
            <w:proofErr w:type="spellStart"/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 xml:space="preserve">. Махнёво ул. Советская 148, </w:t>
            </w:r>
            <w:proofErr w:type="spellStart"/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 xml:space="preserve">. Махнёво пер. Чапаева 1, </w:t>
            </w:r>
            <w:proofErr w:type="spellStart"/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 xml:space="preserve">. Махнёво ул. Советская </w:t>
            </w:r>
            <w:r w:rsidR="00F95391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 xml:space="preserve">144, </w:t>
            </w:r>
            <w:proofErr w:type="spellStart"/>
            <w:r w:rsidR="00F95391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="00F95391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 xml:space="preserve">. Махнёво ул. Победы 98, </w:t>
            </w:r>
            <w:r w:rsidR="00F95391" w:rsidRPr="00F95391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с. Измоденово, ул. Мира, д. 7а.</w:t>
            </w:r>
          </w:p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394572" w:rsidRPr="0081746F" w:rsidRDefault="00394572" w:rsidP="00032227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3414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2-3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981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tabs>
                <w:tab w:val="left" w:pos="480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81746F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981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5,27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981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0,59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фасадов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1143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Выявление нарушений и эксплуатационных качеств несущих конструкций н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а козырьках контроль состояния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отдельных элементов крылец и зонтов над входами в здание, в подвалы;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981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0,53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1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0,56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981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0,53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981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4,24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94572" w:rsidRPr="0081746F" w:rsidRDefault="00394572" w:rsidP="00032227">
            <w:pPr>
              <w:tabs>
                <w:tab w:val="left" w:pos="3660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981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0,15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981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0,13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394572" w:rsidRPr="00461CE4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461CE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12,00</w:t>
            </w:r>
          </w:p>
        </w:tc>
      </w:tr>
    </w:tbl>
    <w:p w:rsidR="00394572" w:rsidRPr="0081746F" w:rsidRDefault="00394572" w:rsidP="00394572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</w:p>
    <w:p w:rsidR="00394572" w:rsidRPr="0081746F" w:rsidRDefault="00394572" w:rsidP="00394572">
      <w:pPr>
        <w:spacing w:after="0" w:line="240" w:lineRule="auto"/>
        <w:jc w:val="center"/>
        <w:rPr>
          <w:rFonts w:ascii="Liberation Serif" w:eastAsia="Times New Roman" w:hAnsi="Liberation Serif"/>
          <w:lang w:eastAsia="ru-RU"/>
        </w:rPr>
      </w:pPr>
      <w:r w:rsidRPr="0081746F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W w:w="15482" w:type="dxa"/>
        <w:jc w:val="center"/>
        <w:tblInd w:w="-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1998"/>
        <w:gridCol w:w="1550"/>
        <w:gridCol w:w="11"/>
      </w:tblGrid>
      <w:tr w:rsidR="00394572" w:rsidRPr="0081746F" w:rsidTr="00032227">
        <w:trPr>
          <w:gridAfter w:val="1"/>
          <w:wAfter w:w="11" w:type="dxa"/>
          <w:trHeight w:val="700"/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3548" w:type="dxa"/>
            <w:gridSpan w:val="2"/>
            <w:tcBorders>
              <w:right w:val="single" w:sz="4" w:space="0" w:color="auto"/>
            </w:tcBorders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Двухэтажные капитальные дома </w:t>
            </w:r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с централизованным отоплением, с холодным водоснабжением, с централизованным водоотведением: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1;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2;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3;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4;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lastRenderedPageBreak/>
              <w:t>п.г.т. Махнёво, ул. Городок Карьера, д. 5;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6;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7а;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8;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10;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 п.г.т. Махнёво, ул. Городок Карьера, д. 15;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70 лет Октября, д. 37;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70 лет Октября, д. 38;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70 лет Октября, д. 39;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Плюхина, д. 12;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Советская, д. 182;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Советская, д. 188;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Свердлова, д. 1;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Свердлова, д. 3;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Победы, д. 101;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Победы, д. 102;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Победы, д. 103;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Победы, д. 105;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Победы, д. 111;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Победы, д. 115;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с. Кишкинское, пер. Клубный, д. 9;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с. Кишкинское, пер. Клубный, д. 5; </w:t>
            </w:r>
          </w:p>
        </w:tc>
      </w:tr>
      <w:tr w:rsidR="00394572" w:rsidRPr="0081746F" w:rsidTr="00032227">
        <w:trPr>
          <w:gridAfter w:val="1"/>
          <w:wAfter w:w="11" w:type="dxa"/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Количество подъездов</w:t>
            </w:r>
          </w:p>
        </w:tc>
        <w:tc>
          <w:tcPr>
            <w:tcW w:w="13548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2-3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tabs>
                <w:tab w:val="left" w:pos="480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81746F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5,27</w:t>
            </w:r>
          </w:p>
        </w:tc>
      </w:tr>
      <w:tr w:rsidR="00394572" w:rsidRPr="0081746F" w:rsidTr="00032227">
        <w:trPr>
          <w:trHeight w:val="1648"/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1,14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крыш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0,59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а козырьках контроль состояния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отдельных элементов крылец и зонтов над входами в здание, в подвалы;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0,53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состояния 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0,56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0,53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и водоотведения в многоквартирных домах, 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1,11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Работы, выполняемые в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целях надлежащего содержания электрооборудования в многоквартирном доме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 xml:space="preserve">Проверка заземления оболочки 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3,68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Обеспечение устранения аварий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tabs>
                <w:tab w:val="left" w:pos="3660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0,07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0,13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394572" w:rsidRPr="00461CE4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461CE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13,61</w:t>
            </w:r>
          </w:p>
        </w:tc>
      </w:tr>
      <w:tr w:rsidR="00394572" w:rsidRPr="0081746F" w:rsidTr="00032227">
        <w:trPr>
          <w:gridAfter w:val="1"/>
          <w:wAfter w:w="11" w:type="dxa"/>
          <w:jc w:val="center"/>
        </w:trPr>
        <w:tc>
          <w:tcPr>
            <w:tcW w:w="15471" w:type="dxa"/>
            <w:gridSpan w:val="3"/>
            <w:tcBorders>
              <w:left w:val="nil"/>
              <w:right w:val="nil"/>
            </w:tcBorders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572" w:rsidRPr="0081746F" w:rsidTr="00032227">
        <w:trPr>
          <w:gridAfter w:val="1"/>
          <w:wAfter w:w="11" w:type="dxa"/>
          <w:trHeight w:val="690"/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3548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 xml:space="preserve">Пятиэтажные капитальные дома с централизованным отоплением, с холодным водоснабжением, с централизованным водоотведением в </w:t>
            </w: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16.</w:t>
            </w:r>
          </w:p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572" w:rsidRPr="0081746F" w:rsidTr="00032227">
        <w:trPr>
          <w:gridAfter w:val="1"/>
          <w:wAfter w:w="11" w:type="dxa"/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3548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tabs>
                <w:tab w:val="left" w:pos="480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F95391" w:rsidRPr="0081746F" w:rsidRDefault="00F95391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81746F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  <w:p w:rsidR="00F95391" w:rsidRPr="0081746F" w:rsidRDefault="00F95391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561" w:type="dxa"/>
            <w:gridSpan w:val="2"/>
          </w:tcPr>
          <w:p w:rsidR="00F95391" w:rsidRPr="0081746F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73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61" w:type="dxa"/>
            <w:gridSpan w:val="2"/>
          </w:tcPr>
          <w:p w:rsidR="00F95391" w:rsidRPr="0081746F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84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561" w:type="dxa"/>
            <w:gridSpan w:val="2"/>
          </w:tcPr>
          <w:p w:rsidR="00F95391" w:rsidRPr="0081746F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0,80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фасадов многоквартирных домов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Выявление нарушений и эксплуатационных качеств несущих конструкций н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а козырьках контроль состояния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отдельных элементов крылец и зонтов над входами в здание, в подвалы;</w:t>
            </w:r>
          </w:p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F95391" w:rsidRPr="0081746F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1,60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1" w:type="dxa"/>
            <w:gridSpan w:val="2"/>
          </w:tcPr>
          <w:p w:rsidR="00F95391" w:rsidRPr="0081746F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1,30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F95391" w:rsidRPr="0081746F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1,80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и водоотведения в многоквартирных домах, 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561" w:type="dxa"/>
            <w:gridSpan w:val="2"/>
          </w:tcPr>
          <w:p w:rsidR="00F95391" w:rsidRPr="0081746F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2,06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561" w:type="dxa"/>
            <w:gridSpan w:val="2"/>
          </w:tcPr>
          <w:p w:rsidR="00F95391" w:rsidRPr="0081746F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4,82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Обеспечение устранения аварий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tabs>
                <w:tab w:val="left" w:pos="3660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561" w:type="dxa"/>
            <w:gridSpan w:val="2"/>
          </w:tcPr>
          <w:p w:rsidR="00F95391" w:rsidRPr="0081746F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0,0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7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561" w:type="dxa"/>
            <w:gridSpan w:val="2"/>
          </w:tcPr>
          <w:p w:rsidR="00F95391" w:rsidRPr="0081746F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0,07</w:t>
            </w:r>
          </w:p>
        </w:tc>
      </w:tr>
      <w:tr w:rsidR="00F95391" w:rsidRPr="0081746F" w:rsidTr="00032227">
        <w:trPr>
          <w:jc w:val="center"/>
        </w:trPr>
        <w:tc>
          <w:tcPr>
            <w:tcW w:w="1923" w:type="dxa"/>
          </w:tcPr>
          <w:p w:rsidR="00F95391" w:rsidRPr="0081746F" w:rsidRDefault="00F95391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998" w:type="dxa"/>
          </w:tcPr>
          <w:p w:rsidR="00F95391" w:rsidRPr="0081746F" w:rsidRDefault="00F95391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F95391" w:rsidRPr="00461CE4" w:rsidRDefault="00F95391" w:rsidP="00B863D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461CE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15,09</w:t>
            </w:r>
          </w:p>
        </w:tc>
      </w:tr>
      <w:tr w:rsidR="00394572" w:rsidRPr="0081746F" w:rsidTr="00032227">
        <w:trPr>
          <w:gridAfter w:val="1"/>
          <w:wAfter w:w="11" w:type="dxa"/>
          <w:jc w:val="center"/>
        </w:trPr>
        <w:tc>
          <w:tcPr>
            <w:tcW w:w="15471" w:type="dxa"/>
            <w:gridSpan w:val="3"/>
            <w:tcBorders>
              <w:left w:val="nil"/>
              <w:right w:val="nil"/>
            </w:tcBorders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572" w:rsidRPr="0081746F" w:rsidTr="00032227">
        <w:trPr>
          <w:gridAfter w:val="1"/>
          <w:wAfter w:w="11" w:type="dxa"/>
          <w:trHeight w:val="700"/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3548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Четырёхэтажные капитальные дома с централизованным отоплением, с холодным водоснабжением, с централизованным водоотведением: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11;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п.г.т. Махнёво, ул. Городок Карьера, д. 12.</w:t>
            </w:r>
          </w:p>
        </w:tc>
      </w:tr>
      <w:tr w:rsidR="00394572" w:rsidRPr="0081746F" w:rsidTr="00032227">
        <w:trPr>
          <w:gridAfter w:val="1"/>
          <w:wAfter w:w="11" w:type="dxa"/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3548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tabs>
                <w:tab w:val="left" w:pos="480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81746F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73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84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0,80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а козырьках контроль состояния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отдельных элементов крылец и зонтов над входами в здание, в подвалы;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1,60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Работы, выполняемые в целях надлежащего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содержания внутренней отделки многоквартирных домов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1,30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1,80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и водоотведения в многоквартирных домах, 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2,06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4,82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tabs>
                <w:tab w:val="left" w:pos="3660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0,0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7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0,07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Итого стоимость работ и услуг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394572" w:rsidRPr="00461CE4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461CE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15,09</w:t>
            </w:r>
          </w:p>
        </w:tc>
      </w:tr>
      <w:tr w:rsidR="00394572" w:rsidRPr="0081746F" w:rsidTr="00032227">
        <w:trPr>
          <w:gridAfter w:val="1"/>
          <w:wAfter w:w="11" w:type="dxa"/>
          <w:jc w:val="center"/>
        </w:trPr>
        <w:tc>
          <w:tcPr>
            <w:tcW w:w="15471" w:type="dxa"/>
            <w:gridSpan w:val="3"/>
            <w:tcBorders>
              <w:left w:val="nil"/>
              <w:right w:val="nil"/>
            </w:tcBorders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4572" w:rsidRPr="0081746F" w:rsidTr="00032227">
        <w:trPr>
          <w:gridAfter w:val="1"/>
          <w:wAfter w:w="11" w:type="dxa"/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3548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  <w:t>Трёхэтажные капитальные дома с централизованным отоплением, с холодным водоснабжением, с централизованным водоотведением п.г.т. Махнёво ул. Победы, д. 113</w:t>
            </w:r>
          </w:p>
        </w:tc>
      </w:tr>
      <w:tr w:rsidR="00394572" w:rsidRPr="0081746F" w:rsidTr="00032227">
        <w:trPr>
          <w:gridAfter w:val="1"/>
          <w:wAfter w:w="11" w:type="dxa"/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3548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tabs>
                <w:tab w:val="left" w:pos="480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81746F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  <w:p w:rsidR="00394572" w:rsidRPr="0081746F" w:rsidRDefault="00394572" w:rsidP="00032227">
            <w:pPr>
              <w:tabs>
                <w:tab w:val="left" w:pos="2745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3,04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67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0,81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а козырьках контроль состояния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отдельных элементов крылец и зонтов над входами в здание, в подвалы;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91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59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Работы, выполняемые в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</w:t>
            </w: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повреждений и нарушений проведение восстановительных работ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0,48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Общие работы, выполняемые для надлежащего содержания систем водоснабжения и водоотведения в многоквартирных домах, 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75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5,54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tabs>
                <w:tab w:val="left" w:pos="3660"/>
              </w:tabs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0,13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561" w:type="dxa"/>
            <w:gridSpan w:val="2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0,08</w:t>
            </w:r>
          </w:p>
        </w:tc>
      </w:tr>
      <w:tr w:rsidR="00394572" w:rsidRPr="0081746F" w:rsidTr="00032227">
        <w:trPr>
          <w:jc w:val="center"/>
        </w:trPr>
        <w:tc>
          <w:tcPr>
            <w:tcW w:w="1923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998" w:type="dxa"/>
          </w:tcPr>
          <w:p w:rsidR="00394572" w:rsidRPr="0081746F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394572" w:rsidRPr="00461CE4" w:rsidRDefault="00394572" w:rsidP="0003222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461CE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14,00</w:t>
            </w:r>
          </w:p>
        </w:tc>
      </w:tr>
    </w:tbl>
    <w:p w:rsidR="00394572" w:rsidRPr="0081746F" w:rsidRDefault="00394572" w:rsidP="0039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</w:p>
    <w:p w:rsidR="00E43B62" w:rsidRPr="0081746F" w:rsidRDefault="00E43B62" w:rsidP="00F95391">
      <w:pPr>
        <w:pStyle w:val="Style3"/>
        <w:widowControl/>
        <w:tabs>
          <w:tab w:val="left" w:pos="426"/>
        </w:tabs>
        <w:spacing w:line="240" w:lineRule="auto"/>
        <w:jc w:val="left"/>
        <w:rPr>
          <w:rStyle w:val="FontStyle58"/>
          <w:rFonts w:ascii="Liberation Serif" w:hAnsi="Liberation Serif"/>
        </w:rPr>
      </w:pPr>
    </w:p>
    <w:p w:rsidR="00E43B62" w:rsidRPr="0081746F" w:rsidRDefault="00E43B62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</w:p>
    <w:p w:rsidR="001C1AD4" w:rsidRDefault="001C1AD4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</w:p>
    <w:p w:rsidR="00A74C27" w:rsidRPr="0081746F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lastRenderedPageBreak/>
        <w:t>Т</w:t>
      </w:r>
      <w:r w:rsidR="00A74C27" w:rsidRPr="0081746F">
        <w:rPr>
          <w:rStyle w:val="FontStyle58"/>
          <w:rFonts w:ascii="Liberation Serif" w:hAnsi="Liberation Serif"/>
        </w:rPr>
        <w:t>аблица 1</w:t>
      </w:r>
    </w:p>
    <w:p w:rsidR="0039027D" w:rsidRPr="0081746F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>к Приложению № 1</w:t>
      </w:r>
      <w:r w:rsidR="0039027D" w:rsidRPr="0081746F">
        <w:rPr>
          <w:rStyle w:val="FontStyle58"/>
          <w:rFonts w:ascii="Liberation Serif" w:hAnsi="Liberation Serif"/>
        </w:rPr>
        <w:t xml:space="preserve"> </w:t>
      </w:r>
      <w:r w:rsidRPr="0081746F">
        <w:rPr>
          <w:rStyle w:val="FontStyle58"/>
          <w:rFonts w:ascii="Liberation Serif" w:hAnsi="Liberation Serif"/>
        </w:rPr>
        <w:t xml:space="preserve"> </w:t>
      </w:r>
    </w:p>
    <w:p w:rsidR="0039027D" w:rsidRPr="0081746F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 xml:space="preserve"> </w:t>
      </w:r>
    </w:p>
    <w:p w:rsidR="00366D5C" w:rsidRPr="0081746F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81746F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ПЕРИОДИЧНОСТЬ</w:t>
      </w:r>
    </w:p>
    <w:p w:rsidR="00366D5C" w:rsidRPr="0081746F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81746F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ВЫПОЛНЕНИЯ РАБОТ И УСЛУГ,</w:t>
      </w:r>
    </w:p>
    <w:p w:rsidR="00366D5C" w:rsidRPr="0081746F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proofErr w:type="gramStart"/>
      <w:r w:rsidRPr="0081746F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ОКАЗЫВАЕМЫХ</w:t>
      </w:r>
      <w:proofErr w:type="gramEnd"/>
      <w:r w:rsidRPr="0081746F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 xml:space="preserve"> ЖИЛИЩНО-ЭКСПЛУАТАЦИОННЫМИ ОРГАНИЗАЦИЯМИ</w:t>
      </w:r>
    </w:p>
    <w:p w:rsidR="00366D5C" w:rsidRPr="0081746F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81746F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 xml:space="preserve">ЗА СЧЕТ ПЛАТЫ ПО СОДЕРЖАНИЮ </w:t>
      </w:r>
    </w:p>
    <w:p w:rsidR="00366D5C" w:rsidRPr="0081746F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81746F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ОБЩЕГО ИМУЩЕСТВА В МНОГОКВАРТИРНЫХ ДОМАХ</w:t>
      </w:r>
    </w:p>
    <w:p w:rsidR="00366D5C" w:rsidRPr="0081746F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221"/>
        <w:gridCol w:w="2552"/>
        <w:gridCol w:w="3827"/>
      </w:tblGrid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/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Наименование и виды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Периодичность выполнения,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здания и инженерных систем к сезонной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к эксплуатации в весенне-летний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консервация системы отопления;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к эксплуатации в осенне-зимний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ремонт, промывка и гидравлические испытания систем отопления;</w:t>
            </w:r>
          </w:p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укомплектование узлов ввода.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ревизия и ремонт запорной арматуры;</w:t>
            </w:r>
          </w:p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восстановление тепловой изоляции на трубопроводах, регулирующей арматуре;</w:t>
            </w:r>
          </w:p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герметизация вводов инженерных коммуникаций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приведение помещений подвалов и чердаков в соответствие с Правилами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устранение протечек с кровель, остекление и закрытие чердачных слуховых окон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устранение причин подтопления подвальных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замена разбитых стеклоблоков, стекол окон помещений общего пользования, восстановление и утепление входных дверей подъездов, установка пружин и доводчиков, прочие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Прочие работы по подготовке к зимнему периоду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вентиля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Установка, смена крана для спуска воздуха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задвижек на вводах в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Установка запорной арматуры на стояках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Ремонт изоляции трубопроводов в подвалах, чердаках, подъездах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Смена отдельных участков трубопровода в местах общего пользования до 2 метров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до 2 м.,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участков канализации до 2 м.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сгонов, манжет и прочих фасонных деталей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элементов кровли из листовой стали, асбестоцементного волнистого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проведение косметического ремонта мест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повреждений трубопроводов инженерных внутридомовых систем во вспомогательных и жилых помещениях, приводящих к нарушению функционирования систем и повреждению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Выезд специалистов на место аварии не позднее 1 часа после получения сообщения от диспетчера или граждан (с уведомлением диспетчера), принятие мер к немедленной локализации аварии.</w:t>
            </w: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засоров канализации в жилых и вспомогательных помещениях, приводящих к затоплению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3.11.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поступления воды в жилые и вспомогательные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Устранение причин выхода из строя оборудования ВРУ, повреждения </w:t>
            </w:r>
            <w:proofErr w:type="spellStart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электрокабелей</w:t>
            </w:r>
            <w:proofErr w:type="spellEnd"/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отключения электроэнергии в здании, подъезде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короткое замыкание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Локализация (прекращение) протечек от неисправности кровли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неисправности в системах организованного водостока: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внутреннего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2-х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наружного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неисправностей в системах отопления и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Замена разбитых стекол и сорванных створок оконных переплетов, форточек, дверных полотен и прочих конструктивных элементов во вспомогательных помещениях: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rPr>
          <w:trHeight w:val="1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 зимнее 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81746F" w:rsidTr="00A74C27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 летнее время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1746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 суток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81746F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F319AC" w:rsidRPr="0081746F" w:rsidRDefault="00F319AC" w:rsidP="00772BBE">
      <w:pPr>
        <w:spacing w:after="0"/>
        <w:rPr>
          <w:rFonts w:ascii="Liberation Serif" w:hAnsi="Liberation Serif"/>
        </w:rPr>
      </w:pPr>
    </w:p>
    <w:sectPr w:rsidR="00F319AC" w:rsidRPr="0081746F" w:rsidSect="002F7D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067"/>
    <w:rsid w:val="00004919"/>
    <w:rsid w:val="00004FD2"/>
    <w:rsid w:val="00016A3F"/>
    <w:rsid w:val="000174E6"/>
    <w:rsid w:val="00024102"/>
    <w:rsid w:val="00025288"/>
    <w:rsid w:val="00027736"/>
    <w:rsid w:val="00030A0C"/>
    <w:rsid w:val="00033C26"/>
    <w:rsid w:val="00035DA4"/>
    <w:rsid w:val="000443D4"/>
    <w:rsid w:val="000448F2"/>
    <w:rsid w:val="00045409"/>
    <w:rsid w:val="0004756C"/>
    <w:rsid w:val="00055069"/>
    <w:rsid w:val="000569AB"/>
    <w:rsid w:val="00063D71"/>
    <w:rsid w:val="00064DDD"/>
    <w:rsid w:val="000731B8"/>
    <w:rsid w:val="000735D7"/>
    <w:rsid w:val="000813F3"/>
    <w:rsid w:val="00083D95"/>
    <w:rsid w:val="00086909"/>
    <w:rsid w:val="0009092F"/>
    <w:rsid w:val="000920B4"/>
    <w:rsid w:val="000A0A9D"/>
    <w:rsid w:val="000B7D6D"/>
    <w:rsid w:val="000C5F11"/>
    <w:rsid w:val="000C6C53"/>
    <w:rsid w:val="000C78EC"/>
    <w:rsid w:val="000D2603"/>
    <w:rsid w:val="000D5273"/>
    <w:rsid w:val="000D554C"/>
    <w:rsid w:val="000D6FAC"/>
    <w:rsid w:val="000E4A54"/>
    <w:rsid w:val="000F54A1"/>
    <w:rsid w:val="00101495"/>
    <w:rsid w:val="00104516"/>
    <w:rsid w:val="00116929"/>
    <w:rsid w:val="00121D5C"/>
    <w:rsid w:val="00122E05"/>
    <w:rsid w:val="001417F5"/>
    <w:rsid w:val="0015416D"/>
    <w:rsid w:val="00156DB5"/>
    <w:rsid w:val="0016673C"/>
    <w:rsid w:val="00187495"/>
    <w:rsid w:val="00195A94"/>
    <w:rsid w:val="00197697"/>
    <w:rsid w:val="001A1EBB"/>
    <w:rsid w:val="001C1AD4"/>
    <w:rsid w:val="001C723C"/>
    <w:rsid w:val="001D1D47"/>
    <w:rsid w:val="001F0577"/>
    <w:rsid w:val="001F1697"/>
    <w:rsid w:val="00204DE2"/>
    <w:rsid w:val="002304E0"/>
    <w:rsid w:val="00230C5C"/>
    <w:rsid w:val="00231419"/>
    <w:rsid w:val="00242D16"/>
    <w:rsid w:val="00245A2E"/>
    <w:rsid w:val="0025173D"/>
    <w:rsid w:val="00264EE9"/>
    <w:rsid w:val="0026645B"/>
    <w:rsid w:val="00267FEA"/>
    <w:rsid w:val="00270519"/>
    <w:rsid w:val="002706A5"/>
    <w:rsid w:val="00294DC4"/>
    <w:rsid w:val="002B22C2"/>
    <w:rsid w:val="002C143F"/>
    <w:rsid w:val="002C419D"/>
    <w:rsid w:val="002C7B16"/>
    <w:rsid w:val="002F7DA1"/>
    <w:rsid w:val="00300CD9"/>
    <w:rsid w:val="0030137E"/>
    <w:rsid w:val="00302E0B"/>
    <w:rsid w:val="003073A4"/>
    <w:rsid w:val="00347CAB"/>
    <w:rsid w:val="003573E2"/>
    <w:rsid w:val="00366D5C"/>
    <w:rsid w:val="003700ED"/>
    <w:rsid w:val="00372BB7"/>
    <w:rsid w:val="0037412C"/>
    <w:rsid w:val="00376BD9"/>
    <w:rsid w:val="003861F4"/>
    <w:rsid w:val="0039027D"/>
    <w:rsid w:val="00392FB2"/>
    <w:rsid w:val="00394572"/>
    <w:rsid w:val="00396DD7"/>
    <w:rsid w:val="003A2AEF"/>
    <w:rsid w:val="003B2288"/>
    <w:rsid w:val="003B2A9E"/>
    <w:rsid w:val="003C3FA1"/>
    <w:rsid w:val="003D0952"/>
    <w:rsid w:val="003D51D3"/>
    <w:rsid w:val="003E10E2"/>
    <w:rsid w:val="003E1790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A71E1"/>
    <w:rsid w:val="004B4E25"/>
    <w:rsid w:val="004C5554"/>
    <w:rsid w:val="004C5B07"/>
    <w:rsid w:val="004C68FF"/>
    <w:rsid w:val="004D03DE"/>
    <w:rsid w:val="004D7C8A"/>
    <w:rsid w:val="004E1CA9"/>
    <w:rsid w:val="004E1F40"/>
    <w:rsid w:val="004E5F5B"/>
    <w:rsid w:val="00503C21"/>
    <w:rsid w:val="00514EAB"/>
    <w:rsid w:val="00531F8F"/>
    <w:rsid w:val="00545F52"/>
    <w:rsid w:val="00546AAA"/>
    <w:rsid w:val="00547C27"/>
    <w:rsid w:val="0055590E"/>
    <w:rsid w:val="00562DAC"/>
    <w:rsid w:val="00571A9C"/>
    <w:rsid w:val="0058038D"/>
    <w:rsid w:val="0058562E"/>
    <w:rsid w:val="00587544"/>
    <w:rsid w:val="00592099"/>
    <w:rsid w:val="00595C81"/>
    <w:rsid w:val="00597BAB"/>
    <w:rsid w:val="005B364D"/>
    <w:rsid w:val="005C7537"/>
    <w:rsid w:val="005D705F"/>
    <w:rsid w:val="005E38A2"/>
    <w:rsid w:val="005F28A8"/>
    <w:rsid w:val="005F5F2F"/>
    <w:rsid w:val="0060128B"/>
    <w:rsid w:val="006110A2"/>
    <w:rsid w:val="00611764"/>
    <w:rsid w:val="006123CF"/>
    <w:rsid w:val="00623C73"/>
    <w:rsid w:val="00624041"/>
    <w:rsid w:val="006279BD"/>
    <w:rsid w:val="00632B29"/>
    <w:rsid w:val="0064139F"/>
    <w:rsid w:val="00646178"/>
    <w:rsid w:val="0065215E"/>
    <w:rsid w:val="00652724"/>
    <w:rsid w:val="00653106"/>
    <w:rsid w:val="00663C9F"/>
    <w:rsid w:val="006816F1"/>
    <w:rsid w:val="00683F35"/>
    <w:rsid w:val="006958F4"/>
    <w:rsid w:val="00696B5C"/>
    <w:rsid w:val="006A3A2E"/>
    <w:rsid w:val="006A51D8"/>
    <w:rsid w:val="006A646D"/>
    <w:rsid w:val="006B7041"/>
    <w:rsid w:val="006C3319"/>
    <w:rsid w:val="006C515A"/>
    <w:rsid w:val="006C6B2D"/>
    <w:rsid w:val="006D0D31"/>
    <w:rsid w:val="006D7030"/>
    <w:rsid w:val="006E009F"/>
    <w:rsid w:val="006E2FC4"/>
    <w:rsid w:val="006E312C"/>
    <w:rsid w:val="006F1548"/>
    <w:rsid w:val="007114F4"/>
    <w:rsid w:val="007253AB"/>
    <w:rsid w:val="007260F3"/>
    <w:rsid w:val="0072631C"/>
    <w:rsid w:val="00727AF4"/>
    <w:rsid w:val="00731CC9"/>
    <w:rsid w:val="00742657"/>
    <w:rsid w:val="007478E1"/>
    <w:rsid w:val="0076178A"/>
    <w:rsid w:val="00762632"/>
    <w:rsid w:val="0076424D"/>
    <w:rsid w:val="007678B5"/>
    <w:rsid w:val="00772BBE"/>
    <w:rsid w:val="00776586"/>
    <w:rsid w:val="00784F69"/>
    <w:rsid w:val="00793796"/>
    <w:rsid w:val="007A3922"/>
    <w:rsid w:val="007A4809"/>
    <w:rsid w:val="007A6BE9"/>
    <w:rsid w:val="007C093E"/>
    <w:rsid w:val="007C5569"/>
    <w:rsid w:val="007C73FF"/>
    <w:rsid w:val="007D0755"/>
    <w:rsid w:val="007D0F1F"/>
    <w:rsid w:val="007D62DA"/>
    <w:rsid w:val="007E39E9"/>
    <w:rsid w:val="007E690F"/>
    <w:rsid w:val="007F031C"/>
    <w:rsid w:val="007F4339"/>
    <w:rsid w:val="007F6C65"/>
    <w:rsid w:val="00803804"/>
    <w:rsid w:val="008048B3"/>
    <w:rsid w:val="0081746F"/>
    <w:rsid w:val="00823802"/>
    <w:rsid w:val="00826283"/>
    <w:rsid w:val="00831A7B"/>
    <w:rsid w:val="00833216"/>
    <w:rsid w:val="0083435A"/>
    <w:rsid w:val="00834E34"/>
    <w:rsid w:val="00861D9C"/>
    <w:rsid w:val="008631D3"/>
    <w:rsid w:val="00863778"/>
    <w:rsid w:val="0087723F"/>
    <w:rsid w:val="00883583"/>
    <w:rsid w:val="008A6759"/>
    <w:rsid w:val="008B32D3"/>
    <w:rsid w:val="008B49B9"/>
    <w:rsid w:val="008B6245"/>
    <w:rsid w:val="008B6734"/>
    <w:rsid w:val="008C22DD"/>
    <w:rsid w:val="008C2A29"/>
    <w:rsid w:val="008C3BE1"/>
    <w:rsid w:val="008C5C9D"/>
    <w:rsid w:val="008C719A"/>
    <w:rsid w:val="008D7238"/>
    <w:rsid w:val="008E36E6"/>
    <w:rsid w:val="008E58E6"/>
    <w:rsid w:val="008F0B96"/>
    <w:rsid w:val="00907441"/>
    <w:rsid w:val="0092069F"/>
    <w:rsid w:val="009236D3"/>
    <w:rsid w:val="00923EF6"/>
    <w:rsid w:val="00926C3E"/>
    <w:rsid w:val="009366C0"/>
    <w:rsid w:val="009368BD"/>
    <w:rsid w:val="00936CA9"/>
    <w:rsid w:val="00942DAE"/>
    <w:rsid w:val="009461FA"/>
    <w:rsid w:val="0094633F"/>
    <w:rsid w:val="00961C93"/>
    <w:rsid w:val="009627F7"/>
    <w:rsid w:val="00965517"/>
    <w:rsid w:val="009740FD"/>
    <w:rsid w:val="009762C4"/>
    <w:rsid w:val="00977F07"/>
    <w:rsid w:val="009A64B5"/>
    <w:rsid w:val="009B292B"/>
    <w:rsid w:val="009B5F7B"/>
    <w:rsid w:val="009C0B05"/>
    <w:rsid w:val="009D35C3"/>
    <w:rsid w:val="009E61D0"/>
    <w:rsid w:val="00A21088"/>
    <w:rsid w:val="00A24950"/>
    <w:rsid w:val="00A33FD4"/>
    <w:rsid w:val="00A34548"/>
    <w:rsid w:val="00A35838"/>
    <w:rsid w:val="00A362CD"/>
    <w:rsid w:val="00A65110"/>
    <w:rsid w:val="00A74C27"/>
    <w:rsid w:val="00A92D07"/>
    <w:rsid w:val="00AA16E3"/>
    <w:rsid w:val="00AA2D35"/>
    <w:rsid w:val="00AB06FB"/>
    <w:rsid w:val="00AB21D2"/>
    <w:rsid w:val="00AC3487"/>
    <w:rsid w:val="00AC4C72"/>
    <w:rsid w:val="00AC62D2"/>
    <w:rsid w:val="00AD3D6A"/>
    <w:rsid w:val="00AF7449"/>
    <w:rsid w:val="00B00FEB"/>
    <w:rsid w:val="00B136FD"/>
    <w:rsid w:val="00B215DF"/>
    <w:rsid w:val="00B23018"/>
    <w:rsid w:val="00B23496"/>
    <w:rsid w:val="00B31FA6"/>
    <w:rsid w:val="00B45264"/>
    <w:rsid w:val="00B61614"/>
    <w:rsid w:val="00B66110"/>
    <w:rsid w:val="00B97BBC"/>
    <w:rsid w:val="00BC4F95"/>
    <w:rsid w:val="00BE0CB0"/>
    <w:rsid w:val="00BF1E74"/>
    <w:rsid w:val="00C0091E"/>
    <w:rsid w:val="00C02AD7"/>
    <w:rsid w:val="00C04BA1"/>
    <w:rsid w:val="00C06005"/>
    <w:rsid w:val="00C23F6A"/>
    <w:rsid w:val="00C32DCB"/>
    <w:rsid w:val="00C421C2"/>
    <w:rsid w:val="00C46F7A"/>
    <w:rsid w:val="00C56596"/>
    <w:rsid w:val="00C617A5"/>
    <w:rsid w:val="00C61DA7"/>
    <w:rsid w:val="00C65C9E"/>
    <w:rsid w:val="00C8688F"/>
    <w:rsid w:val="00C86F7E"/>
    <w:rsid w:val="00C878BB"/>
    <w:rsid w:val="00C90C26"/>
    <w:rsid w:val="00CB4823"/>
    <w:rsid w:val="00CC5DF6"/>
    <w:rsid w:val="00D0678C"/>
    <w:rsid w:val="00D069FD"/>
    <w:rsid w:val="00D278D6"/>
    <w:rsid w:val="00D5312B"/>
    <w:rsid w:val="00D61002"/>
    <w:rsid w:val="00D66881"/>
    <w:rsid w:val="00D74499"/>
    <w:rsid w:val="00D92152"/>
    <w:rsid w:val="00D93D61"/>
    <w:rsid w:val="00D96DD7"/>
    <w:rsid w:val="00DA1E08"/>
    <w:rsid w:val="00DB6EA5"/>
    <w:rsid w:val="00DC782D"/>
    <w:rsid w:val="00DC7FFB"/>
    <w:rsid w:val="00DD12A6"/>
    <w:rsid w:val="00DD38DB"/>
    <w:rsid w:val="00DE4712"/>
    <w:rsid w:val="00DE7FB5"/>
    <w:rsid w:val="00DF3E20"/>
    <w:rsid w:val="00E01AD5"/>
    <w:rsid w:val="00E310C5"/>
    <w:rsid w:val="00E3626A"/>
    <w:rsid w:val="00E43B62"/>
    <w:rsid w:val="00E534E3"/>
    <w:rsid w:val="00E5492B"/>
    <w:rsid w:val="00E65736"/>
    <w:rsid w:val="00E8772D"/>
    <w:rsid w:val="00E92792"/>
    <w:rsid w:val="00E938CA"/>
    <w:rsid w:val="00E97980"/>
    <w:rsid w:val="00E97B97"/>
    <w:rsid w:val="00EA39A9"/>
    <w:rsid w:val="00EB5F90"/>
    <w:rsid w:val="00EB7F15"/>
    <w:rsid w:val="00ED039B"/>
    <w:rsid w:val="00ED6F0C"/>
    <w:rsid w:val="00F001B5"/>
    <w:rsid w:val="00F00B3B"/>
    <w:rsid w:val="00F15231"/>
    <w:rsid w:val="00F15BEB"/>
    <w:rsid w:val="00F24002"/>
    <w:rsid w:val="00F24095"/>
    <w:rsid w:val="00F27837"/>
    <w:rsid w:val="00F27D63"/>
    <w:rsid w:val="00F315F0"/>
    <w:rsid w:val="00F316B2"/>
    <w:rsid w:val="00F319AC"/>
    <w:rsid w:val="00F33CDA"/>
    <w:rsid w:val="00F409E5"/>
    <w:rsid w:val="00F52C79"/>
    <w:rsid w:val="00F5646A"/>
    <w:rsid w:val="00F812BC"/>
    <w:rsid w:val="00F82034"/>
    <w:rsid w:val="00F91A29"/>
    <w:rsid w:val="00F95391"/>
    <w:rsid w:val="00FA1067"/>
    <w:rsid w:val="00FA3546"/>
    <w:rsid w:val="00FA4795"/>
    <w:rsid w:val="00FB2F08"/>
    <w:rsid w:val="00FB3FC2"/>
    <w:rsid w:val="00FC5E62"/>
    <w:rsid w:val="00FC6F36"/>
    <w:rsid w:val="00FE3F2B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0A26-C95C-4D5B-9FA9-BDCEE41D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13</cp:revision>
  <cp:lastPrinted>2020-11-12T12:25:00Z</cp:lastPrinted>
  <dcterms:created xsi:type="dcterms:W3CDTF">2020-10-14T08:03:00Z</dcterms:created>
  <dcterms:modified xsi:type="dcterms:W3CDTF">2020-11-18T13:04:00Z</dcterms:modified>
</cp:coreProperties>
</file>