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BF5CF4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A691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BF5CF4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C17E2C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</w:t>
      </w:r>
      <w:proofErr w:type="gramStart"/>
      <w:r>
        <w:rPr>
          <w:i w:val="0"/>
          <w:iCs w:val="0"/>
          <w:sz w:val="36"/>
          <w:lang w:val="en-US"/>
        </w:rPr>
        <w:t>за</w:t>
      </w:r>
      <w:proofErr w:type="gramEnd"/>
      <w:r>
        <w:rPr>
          <w:i w:val="0"/>
          <w:iCs w:val="0"/>
          <w:sz w:val="36"/>
          <w:lang w:val="en-US"/>
        </w:rPr>
        <w:t xml:space="preserve"> 5 месяцев 2018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C17E2C" w:rsidRPr="00C17E2C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За 5 месяцев 2018 года на территории Свердловской области зарегистрировано 1503 пожара, что в сравнении с аналогичным периодом прошлого года меньше на 89 случаев или 5,6</w:t>
      </w:r>
      <w:r w:rsidR="004500F9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%</w:t>
      </w:r>
      <w:r w:rsidR="004500F9">
        <w:rPr>
          <w:sz w:val="28"/>
          <w:szCs w:val="28"/>
        </w:rPr>
        <w:t>.</w:t>
      </w:r>
    </w:p>
    <w:p w:rsidR="00C17E2C" w:rsidRPr="00C17E2C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При пожарах погибли 137 человек (снижение на 9,3</w:t>
      </w:r>
      <w:r w:rsidR="004500F9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% в сравнении с АППГ), в том числе 7 детей (за аналогичный период прошлого года погибли 5 детей);</w:t>
      </w:r>
    </w:p>
    <w:p w:rsidR="00C17E2C" w:rsidRPr="00C17E2C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141 житель Свердловской области получили трав</w:t>
      </w:r>
      <w:r w:rsidR="004500F9">
        <w:rPr>
          <w:sz w:val="28"/>
          <w:szCs w:val="28"/>
        </w:rPr>
        <w:t>мы различной степеней тяжести (</w:t>
      </w:r>
      <w:r w:rsidRPr="00C17E2C">
        <w:rPr>
          <w:sz w:val="28"/>
          <w:szCs w:val="28"/>
        </w:rPr>
        <w:t>снижение на 11 человек или на 7,2</w:t>
      </w:r>
      <w:r w:rsidR="004500F9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%));</w:t>
      </w:r>
    </w:p>
    <w:p w:rsidR="00C17E2C" w:rsidRPr="00C17E2C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Материальный ущерб от пожаров и их последствий составил 128,5 млн.руб. (снижение на 49,5</w:t>
      </w:r>
      <w:r w:rsidR="004500F9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%));</w:t>
      </w:r>
    </w:p>
    <w:p w:rsidR="00C17E2C" w:rsidRPr="004500F9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 xml:space="preserve">Зарегистрировано выездов пожарных подразделений на ликвидацию </w:t>
      </w:r>
      <w:r w:rsidRPr="004500F9">
        <w:rPr>
          <w:sz w:val="28"/>
          <w:szCs w:val="28"/>
        </w:rPr>
        <w:t>4764 загорания.</w:t>
      </w:r>
    </w:p>
    <w:p w:rsidR="00C17E2C" w:rsidRPr="004500F9" w:rsidRDefault="00C17E2C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FA218F" w:rsidRDefault="004500F9" w:rsidP="00C1073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4395A6B" wp14:editId="274E6CAA">
            <wp:extent cx="6265545" cy="2730500"/>
            <wp:effectExtent l="0" t="0" r="1905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C17E2C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 xml:space="preserve">Подразделениями пожарной охраны на пожарах спасено 559 и эвакуировано 1903 человека, а </w:t>
      </w:r>
      <w:proofErr w:type="gramStart"/>
      <w:r w:rsidRPr="00C17E2C">
        <w:rPr>
          <w:sz w:val="28"/>
          <w:szCs w:val="28"/>
        </w:rPr>
        <w:t>так же</w:t>
      </w:r>
      <w:proofErr w:type="gramEnd"/>
      <w:r w:rsidRPr="00C17E2C">
        <w:rPr>
          <w:sz w:val="28"/>
          <w:szCs w:val="28"/>
        </w:rPr>
        <w:t xml:space="preserve"> спасено материальных ценностей на сумму более 11,83 млн. рублей.</w:t>
      </w:r>
    </w:p>
    <w:p w:rsidR="001C4F2D" w:rsidRPr="004500F9" w:rsidRDefault="00C17E2C" w:rsidP="001C4F2D">
      <w:pPr>
        <w:ind w:firstLine="709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Ежедневно в Свердловской области происходило 10,0 пожаров, при которых погибали 0,9 человек</w:t>
      </w:r>
      <w:r w:rsidR="004500F9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 xml:space="preserve">и 0,9 человек получали травмы, огнем уничтожалось 3,1 строения, 0,4 единицы автотракторной техники. </w:t>
      </w:r>
      <w:r w:rsidRPr="004500F9">
        <w:rPr>
          <w:sz w:val="28"/>
          <w:szCs w:val="28"/>
        </w:rPr>
        <w:t>Ежедневный материальный ущерб составил 0,9 млн. рублей.</w:t>
      </w:r>
    </w:p>
    <w:p w:rsidR="004500F9" w:rsidRDefault="004500F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4500F9" w:rsidP="0010181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2AC841" wp14:editId="0A51315F">
                <wp:simplePos x="0" y="0"/>
                <wp:positionH relativeFrom="column">
                  <wp:posOffset>676275</wp:posOffset>
                </wp:positionH>
                <wp:positionV relativeFrom="paragraph">
                  <wp:posOffset>1513840</wp:posOffset>
                </wp:positionV>
                <wp:extent cx="2201545" cy="150495"/>
                <wp:effectExtent l="19050" t="19050" r="46355" b="4000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545" cy="150495"/>
                          <a:chOff x="0" y="0"/>
                          <a:chExt cx="2201545" cy="150495"/>
                        </a:xfrm>
                      </wpg:grpSpPr>
                      <wps:wsp>
                        <wps:cNvPr id="14" name="Выгнутая вверх стрелка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258445" cy="131445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Выгнутая вверх стрелка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5775" y="0"/>
                            <a:ext cx="258445" cy="131445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Выгнутая вверх стрелка 16"/>
                        <wps:cNvSpPr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258445" cy="131445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Выгнутая вверх стрелка 17"/>
                        <wps:cNvSpPr>
                          <a:spLocks noChangeArrowheads="1"/>
                        </wps:cNvSpPr>
                        <wps:spPr bwMode="auto">
                          <a:xfrm>
                            <a:off x="1466850" y="19050"/>
                            <a:ext cx="258445" cy="131445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Выгнутая вверх стрелка 18"/>
                        <wps:cNvSpPr>
                          <a:spLocks noChangeArrowheads="1"/>
                        </wps:cNvSpPr>
                        <wps:spPr bwMode="auto">
                          <a:xfrm>
                            <a:off x="1943100" y="19050"/>
                            <a:ext cx="258445" cy="131445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78A1C" id="Группа 12" o:spid="_x0000_s1026" style="position:absolute;margin-left:53.25pt;margin-top:119.2pt;width:173.35pt;height:11.85pt;z-index:251660288" coordsize="22015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14" o:spid="_x0000_s1027" type="#_x0000_t105" style="position:absolute;width:2584;height:13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yB8MA&#10;AADbAAAADwAAAGRycy9kb3ducmV2LnhtbERPS2sCMRC+C/6HMEIvotlKq2VrFCstFaGgWw89DpvZ&#10;h24mYZPq+u+NUOhtPr7nzJedacSZWl9bVvA4TkAQ51bXXCo4fH+MXkD4gKyxsUwKruRhuej35phq&#10;e+E9nbNQihjCPkUFVQguldLnFRn0Y+uII1fY1mCIsC2lbvESw00jJ0kylQZrjg0VOlpXlJ+yX6Ng&#10;K49vP+65KHA4O75/uR3Xh+mnUg+DbvUKIlAX/sV/7o2O85/g/k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yB8MAAADbAAAADwAAAAAAAAAAAAAAAACYAgAAZHJzL2Rv&#10;d25yZXYueG1sUEsFBgAAAAAEAAQA9QAAAIgDAAAAAA==&#10;" adj="7584,18096" fillcolor="red"/>
                <v:shape id="Выгнутая вверх стрелка 15" o:spid="_x0000_s1028" type="#_x0000_t105" style="position:absolute;left:4857;width:2585;height:13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XnMMA&#10;AADbAAAADwAAAGRycy9kb3ducmV2LnhtbERPS2sCMRC+F/ofwhR6ETfbglbWjdKWFkUQ6uPgcdjM&#10;PuxmEjaprv/eCEJv8/E9J5/3phUn6nxjWcFLkoIgLqxuuFKw330PJyB8QNbYWiYFF/Iwnz0+5Jhp&#10;e+YNnbahEjGEfYYK6hBcJqUvajLoE+uII1fazmCIsKuk7vAcw00rX9N0LA02HBtqdPRZU/G7/TMK&#10;VvL4cXCjssTB2/Fr7X642Y8XSj0/9e9TEIH68C++u5c6zh/B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/XnMMAAADbAAAADwAAAAAAAAAAAAAAAACYAgAAZHJzL2Rv&#10;d25yZXYueG1sUEsFBgAAAAAEAAQA9QAAAIgDAAAAAA==&#10;" adj="7584,18096" fillcolor="red"/>
                <v:shape id="Выгнутая вверх стрелка 16" o:spid="_x0000_s1029" type="#_x0000_t105" style="position:absolute;left:9715;width:258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nsMQA&#10;AADbAAAADwAAAGRycy9kb3ducmV2LnhtbERP32vCMBB+H+x/CDfwZWiqSBldowxRURCGbrg9Hs0t&#10;LWsutYla/euNMNjbfXw/L592thYnan3lWMFwkIAgLpyu2Cj4/Fj0X0D4gKyxdkwKLuRhOnl8yDHT&#10;7sxbOu2CETGEfYYKyhCaTEpflGTRD1xDHLkf11oMEbZG6hbPMdzWcpQkqbRYcWwosaFZScXv7mgV&#10;yPXGVN/jw/P1fb8drrqvdGnmqVK9p+7tFUSgLvyL/9wrHeencP8lH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7DEAAAA2wAAAA8AAAAAAAAAAAAAAAAAmAIAAGRycy9k&#10;b3ducmV2LnhtbFBLBQYAAAAABAAEAPUAAACJAwAAAAA=&#10;" adj="7584,18096" fillcolor="yellow"/>
                <v:shape id="Выгнутая вверх стрелка 17" o:spid="_x0000_s1030" type="#_x0000_t105" style="position:absolute;left:14668;top:190;width:258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CK8QA&#10;AADbAAAADwAAAGRycy9kb3ducmV2LnhtbERP22oCMRB9L/QfwhR8KZpVyla2RhGpYkEoXtA+Dptp&#10;dulmst1EXf16IxT6NodzndGktZU4UeNLxwr6vQQEce50yUbBbjvvDkH4gKyxckwKLuRhMn58GGGm&#10;3ZnXdNoEI2II+wwVFCHUmZQ+L8ii77maOHLfrrEYImyM1A2eY7it5CBJUmmx5NhQYE2zgvKfzdEq&#10;kB8rU369/D5fP/fr/rI9pAvznirVeWqnbyACteFf/Ode6jj/Fe6/x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AivEAAAA2wAAAA8AAAAAAAAAAAAAAAAAmAIAAGRycy9k&#10;b3ducmV2LnhtbFBLBQYAAAAABAAEAPUAAACJAwAAAAA=&#10;" adj="7584,18096" fillcolor="yellow"/>
                <v:shape id="Выгнутая вверх стрелка 18" o:spid="_x0000_s1031" type="#_x0000_t105" style="position:absolute;left:19431;top:190;width:258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WWccA&#10;AADbAAAADwAAAGRycy9kb3ducmV2LnhtbESPQWvCQBCF7wX/wzJCL6VuLBJK6ioiVSwIRVvaHofs&#10;dBOanU2zW43++s5B8DbDe/PeN9N57xt1oC7WgQ2MRxko4jLYmp2B97fV/SOomJAtNoHJwIkizGeD&#10;mykWNhx5R4d9ckpCOBZooEqpLbSOZUUe4yi0xKJ9h85jkrVz2nZ4lHDf6Icsy7XHmqWhwpaWFZU/&#10;+z9vQL9sXf01+b07v37sxpv+M1+759yY22G/eAKVqE9X8+V6YwVfYOUXG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KllnHAAAA2wAAAA8AAAAAAAAAAAAAAAAAmAIAAGRy&#10;cy9kb3ducmV2LnhtbFBLBQYAAAAABAAEAPUAAACMAwAAAAA=&#10;" adj="7584,18096" fillcolor="yellow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CC9DCA3" wp14:editId="372205DF">
            <wp:extent cx="6310630" cy="2659380"/>
            <wp:effectExtent l="0" t="0" r="0" b="762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C17E2C" w:rsidP="00804DA6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 xml:space="preserve">Рост пожаров произошел в январе </w:t>
      </w:r>
      <w:r w:rsidR="004500F9">
        <w:rPr>
          <w:sz w:val="28"/>
          <w:szCs w:val="28"/>
        </w:rPr>
        <w:t>на +9,2 %, феврале на +7,8 %.</w:t>
      </w:r>
    </w:p>
    <w:p w:rsidR="004500F9" w:rsidRPr="00FA218F" w:rsidRDefault="004500F9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BF5CF4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076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00F9" w:rsidRDefault="004500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пожаров и их последствий в городах</w:t>
      </w:r>
    </w:p>
    <w:p w:rsidR="00FD4616" w:rsidRPr="00FD4616" w:rsidRDefault="004500F9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7F999D1" wp14:editId="0D8E9FCD">
            <wp:extent cx="6265572" cy="2730321"/>
            <wp:effectExtent l="0" t="0" r="1905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- 1048 пожаров (</w:t>
      </w:r>
      <w:r w:rsidR="004500F9">
        <w:rPr>
          <w:b w:val="0"/>
          <w:iCs w:val="0"/>
          <w:spacing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9,1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% к АППГ);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погибли 73 человека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11,0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%), в том числе 4 ребенка (</w:t>
      </w:r>
      <w:r w:rsidR="004500F9">
        <w:rPr>
          <w:b w:val="0"/>
          <w:iCs w:val="0"/>
          <w:spacing w:val="0"/>
          <w:szCs w:val="28"/>
        </w:rPr>
        <w:t xml:space="preserve">увеличение на </w:t>
      </w:r>
      <w:r w:rsidRPr="00C17E2C">
        <w:rPr>
          <w:b w:val="0"/>
          <w:iCs w:val="0"/>
          <w:spacing w:val="0"/>
          <w:szCs w:val="28"/>
        </w:rPr>
        <w:t>33,3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%);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получили травмы 121 человек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 xml:space="preserve">1,6 </w:t>
      </w:r>
      <w:proofErr w:type="gramStart"/>
      <w:r w:rsidRPr="00C17E2C">
        <w:rPr>
          <w:b w:val="0"/>
          <w:iCs w:val="0"/>
          <w:spacing w:val="0"/>
          <w:szCs w:val="28"/>
        </w:rPr>
        <w:t>% )</w:t>
      </w:r>
      <w:proofErr w:type="gramEnd"/>
      <w:r w:rsidRPr="00C17E2C">
        <w:rPr>
          <w:b w:val="0"/>
          <w:iCs w:val="0"/>
          <w:spacing w:val="0"/>
          <w:szCs w:val="28"/>
        </w:rPr>
        <w:t>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прямой материальный ущерб причинен в размере 80,4 млн.руб.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58,5 %).</w:t>
      </w:r>
    </w:p>
    <w:p w:rsidR="00032DBB" w:rsidRPr="00FD4616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На города пришлось 69,7 % от общего количества пожаров в области, 62,6 % материального ущерба, 53,3 % числа погибших при пожарах людей и 85,8 %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500F9" w:rsidRPr="004500F9" w:rsidRDefault="004500F9" w:rsidP="00FD4616">
      <w:pPr>
        <w:jc w:val="center"/>
        <w:rPr>
          <w:b/>
          <w:sz w:val="16"/>
          <w:szCs w:val="16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4500F9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D03C4B" wp14:editId="3CA5F9DD">
            <wp:extent cx="6294755" cy="2895600"/>
            <wp:effectExtent l="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- 455 пожаров (</w:t>
      </w:r>
      <w:r w:rsidR="004500F9">
        <w:rPr>
          <w:b w:val="0"/>
          <w:iCs w:val="0"/>
          <w:szCs w:val="28"/>
        </w:rPr>
        <w:t>увеличение на</w:t>
      </w:r>
      <w:r w:rsidR="004500F9">
        <w:rPr>
          <w:b w:val="0"/>
          <w:iCs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3,6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% к АППГ);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погибли 64 человека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7,2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 xml:space="preserve">%), в том числе </w:t>
      </w:r>
      <w:r w:rsidR="004500F9">
        <w:rPr>
          <w:b w:val="0"/>
          <w:iCs w:val="0"/>
          <w:spacing w:val="0"/>
          <w:szCs w:val="28"/>
        </w:rPr>
        <w:t xml:space="preserve">3 ребенка </w:t>
      </w:r>
      <w:r w:rsidRPr="00C17E2C">
        <w:rPr>
          <w:b w:val="0"/>
          <w:iCs w:val="0"/>
          <w:spacing w:val="0"/>
          <w:szCs w:val="28"/>
        </w:rPr>
        <w:t>(</w:t>
      </w:r>
      <w:r w:rsidR="004500F9">
        <w:rPr>
          <w:b w:val="0"/>
          <w:iCs w:val="0"/>
          <w:szCs w:val="28"/>
        </w:rPr>
        <w:t>увеличение на</w:t>
      </w:r>
      <w:r w:rsidR="004500F9">
        <w:rPr>
          <w:b w:val="0"/>
          <w:iCs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50,0</w:t>
      </w:r>
      <w:r w:rsidR="004500F9">
        <w:rPr>
          <w:b w:val="0"/>
          <w:iCs w:val="0"/>
          <w:spacing w:val="0"/>
          <w:szCs w:val="28"/>
        </w:rPr>
        <w:t xml:space="preserve"> </w:t>
      </w:r>
      <w:r w:rsidRPr="00C17E2C">
        <w:rPr>
          <w:b w:val="0"/>
          <w:iCs w:val="0"/>
          <w:spacing w:val="0"/>
          <w:szCs w:val="28"/>
        </w:rPr>
        <w:t>%);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- получили травмы 20 человек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31,0 %);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lastRenderedPageBreak/>
        <w:t>- прямой материальный ущерб причинен в размере 48,0 млн.руб. (</w:t>
      </w:r>
      <w:r w:rsidR="004500F9">
        <w:rPr>
          <w:b w:val="0"/>
          <w:iCs w:val="0"/>
          <w:szCs w:val="28"/>
        </w:rPr>
        <w:t xml:space="preserve">снижение на </w:t>
      </w:r>
      <w:r w:rsidRPr="00C17E2C">
        <w:rPr>
          <w:b w:val="0"/>
          <w:iCs w:val="0"/>
          <w:spacing w:val="0"/>
          <w:szCs w:val="28"/>
        </w:rPr>
        <w:t>21,0 %).</w:t>
      </w:r>
    </w:p>
    <w:p w:rsidR="007439F7" w:rsidRPr="00FA218F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На сельскую местность пришлось 30,3 % от общего количества пожаров в области, 37,4 % материального ущерба, 46,7 % числа погибших при пожарах людей и 14,2 %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4500F9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67B17450" wp14:editId="1DC8083E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в жилом секторе. Их доля от общего числа пожаров по области составила 75,6 %. Гибель людей при пожарах в жилом секторе, от общего количества по области, составила 92,7 %, </w:t>
      </w:r>
      <w:proofErr w:type="gramStart"/>
      <w:r w:rsidRPr="00C17E2C">
        <w:rPr>
          <w:b w:val="0"/>
          <w:iCs w:val="0"/>
          <w:spacing w:val="0"/>
          <w:szCs w:val="28"/>
        </w:rPr>
        <w:t>людей</w:t>
      </w:r>
      <w:proofErr w:type="gramEnd"/>
      <w:r w:rsidRPr="00C17E2C">
        <w:rPr>
          <w:b w:val="0"/>
          <w:iCs w:val="0"/>
          <w:spacing w:val="0"/>
          <w:szCs w:val="28"/>
        </w:rPr>
        <w:t xml:space="preserve"> получивших травмы – 87,2 %.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Чаще всего пожары происходили в подсобных помещениях (4,99%), на верандах (6,79%), в саунах (7,32%), в пристройках к зданиям (3,93%), в жилых комнатах (25,02%), на кухнях (3,93%), на чердаках зданий (2,99%), в прочих помещениях (14,84%), в салонах (3,53%), в отсеках двигателей (9,58%).</w:t>
      </w:r>
    </w:p>
    <w:p w:rsidR="00BC5091" w:rsidRPr="004500F9" w:rsidRDefault="00BC509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6"/>
          <w:szCs w:val="16"/>
        </w:rPr>
      </w:pPr>
      <w:r w:rsidRPr="004500F9">
        <w:rPr>
          <w:b w:val="0"/>
          <w:iCs w:val="0"/>
          <w:spacing w:val="0"/>
          <w:sz w:val="16"/>
          <w:szCs w:val="16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C17E2C" w:rsidRDefault="004500F9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4B5D7B94" wp14:editId="5C5AA8BE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C17E2C">
        <w:rPr>
          <w:sz w:val="22"/>
          <w:szCs w:val="22"/>
        </w:rPr>
        <w:t xml:space="preserve"> </w:t>
      </w:r>
    </w:p>
    <w:p w:rsidR="00C17E2C" w:rsidRPr="00C17E2C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lastRenderedPageBreak/>
        <w:t xml:space="preserve">За 5 месяцев 2018 года от неосторожного обращения с огнем произошло 20,1 % (в </w:t>
      </w:r>
      <w:smartTag w:uri="urn:schemas-microsoft-com:office:smarttags" w:element="metricconverter">
        <w:smartTagPr>
          <w:attr w:name="ProductID" w:val="2017 г"/>
        </w:smartTagPr>
        <w:r w:rsidRPr="00C17E2C">
          <w:rPr>
            <w:b w:val="0"/>
            <w:iCs w:val="0"/>
            <w:spacing w:val="0"/>
            <w:szCs w:val="28"/>
          </w:rPr>
          <w:t>2017 г</w:t>
        </w:r>
      </w:smartTag>
      <w:r w:rsidRPr="00C17E2C">
        <w:rPr>
          <w:b w:val="0"/>
          <w:iCs w:val="0"/>
          <w:spacing w:val="0"/>
          <w:szCs w:val="28"/>
        </w:rPr>
        <w:t xml:space="preserve">. - 24,0 %) от общего количества пожаров, при которых погибли 82 человека (59,9 %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C17E2C">
          <w:rPr>
            <w:b w:val="0"/>
            <w:iCs w:val="0"/>
            <w:spacing w:val="0"/>
            <w:szCs w:val="28"/>
          </w:rPr>
          <w:t>2017 г</w:t>
        </w:r>
      </w:smartTag>
      <w:r w:rsidRPr="00C17E2C">
        <w:rPr>
          <w:b w:val="0"/>
          <w:iCs w:val="0"/>
          <w:spacing w:val="0"/>
          <w:szCs w:val="28"/>
        </w:rPr>
        <w:t>. - 55,6 %) и 65 человек получили травмы (46,1</w:t>
      </w:r>
      <w:r w:rsidR="004500F9">
        <w:rPr>
          <w:b w:val="0"/>
          <w:iCs w:val="0"/>
          <w:spacing w:val="0"/>
          <w:szCs w:val="28"/>
        </w:rPr>
        <w:t> </w:t>
      </w:r>
      <w:r w:rsidRPr="00C17E2C">
        <w:rPr>
          <w:b w:val="0"/>
          <w:iCs w:val="0"/>
          <w:spacing w:val="0"/>
          <w:szCs w:val="28"/>
        </w:rPr>
        <w:t xml:space="preserve">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C17E2C">
          <w:rPr>
            <w:b w:val="0"/>
            <w:iCs w:val="0"/>
            <w:spacing w:val="0"/>
            <w:szCs w:val="28"/>
          </w:rPr>
          <w:t>2017 г</w:t>
        </w:r>
      </w:smartTag>
      <w:r w:rsidRPr="00C17E2C">
        <w:rPr>
          <w:b w:val="0"/>
          <w:iCs w:val="0"/>
          <w:spacing w:val="0"/>
          <w:szCs w:val="28"/>
        </w:rPr>
        <w:t>. - 57,9 %).</w:t>
      </w:r>
    </w:p>
    <w:p w:rsidR="0078763C" w:rsidRPr="00FA218F" w:rsidRDefault="00C17E2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17E2C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(33,9 % от общего количества) и нарушений правил эксплуатации печного отопления (18,1 %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C17E2C" w:rsidRPr="00C17E2C" w:rsidRDefault="00C17E2C" w:rsidP="006E5474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C17E2C" w:rsidRPr="00C17E2C" w:rsidRDefault="00C17E2C" w:rsidP="006E5474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- количество пожаров, приходящихся на 100 тыс. населения 34,75 (за АППГ – 36,81);</w:t>
      </w:r>
    </w:p>
    <w:p w:rsidR="00C17E2C" w:rsidRPr="00C17E2C" w:rsidRDefault="00C17E2C" w:rsidP="006E5474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средний ущерб, приходящийся на один пожар, - 85,47 тыс. руб. (159,82); </w:t>
      </w:r>
    </w:p>
    <w:p w:rsidR="00C17E2C" w:rsidRPr="00C17E2C" w:rsidRDefault="00C17E2C" w:rsidP="006E5474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количество погибших при пожарах людей на 100 тыс. населения – 3,17 (3,49); </w:t>
      </w:r>
    </w:p>
    <w:p w:rsidR="00150853" w:rsidRPr="00FA218F" w:rsidRDefault="00C17E2C" w:rsidP="006E5474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- количество травмированных при пожарах людей на 100 тыс. населения – 3,26 (3,51).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4500F9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458A19" wp14:editId="41269479">
            <wp:extent cx="5912784" cy="3152775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83 человека (60,6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 от общего количества), из них в нетрезвом виде - 37, что составляет 27,0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На пожарах больше погибало лиц мужского пола – 69,3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 от общего количества погибших, женщин – 30,7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снизилось на 5,3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%, с 57 человек до 54.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В г</w:t>
      </w:r>
      <w:r w:rsidR="004500F9">
        <w:rPr>
          <w:color w:val="000000"/>
          <w:sz w:val="28"/>
          <w:szCs w:val="28"/>
        </w:rPr>
        <w:t xml:space="preserve">ородах этот процент составляет </w:t>
      </w:r>
      <w:r w:rsidRPr="00C17E2C">
        <w:rPr>
          <w:color w:val="000000"/>
          <w:sz w:val="28"/>
          <w:szCs w:val="28"/>
        </w:rPr>
        <w:t>32,9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% от общего числа погибших в городах, в сельской местности - 46,9</w:t>
      </w:r>
      <w:r w:rsidR="004500F9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 xml:space="preserve">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341FA" w:rsidRDefault="00B341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При пожарах погибло 47 пенсионеров (34,3 % от общего количества),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трудоспособного населения - 29 человек (21,2 %),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безработных - 36 человек (26,3 %),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нетрудоспособных иждивенцев (инвалидов) - 4 человека (2,9 %),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лиц без определенного места жительства (БОМЖ) - 8 человек (5,8 %),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C17E2C" w:rsidRPr="00C17E2C" w:rsidRDefault="00C17E2C" w:rsidP="00B46152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- социальное положение не установлено - 5 человек (3,6 %). </w:t>
      </w:r>
    </w:p>
    <w:p w:rsidR="00F23541" w:rsidRPr="00FA218F" w:rsidRDefault="00BC5091" w:rsidP="00B341FA">
      <w:pPr>
        <w:ind w:firstLine="720"/>
        <w:jc w:val="both"/>
        <w:rPr>
          <w:sz w:val="10"/>
          <w:szCs w:val="10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C17E2C" w:rsidP="00F23541">
      <w:pPr>
        <w:ind w:firstLine="709"/>
        <w:jc w:val="both"/>
        <w:rPr>
          <w:sz w:val="28"/>
          <w:szCs w:val="28"/>
        </w:rPr>
      </w:pPr>
      <w:r w:rsidRPr="00C17E2C">
        <w:rPr>
          <w:sz w:val="28"/>
          <w:szCs w:val="28"/>
        </w:rPr>
        <w:t xml:space="preserve">Детей школьного возраста погибло 1 человек (0,7 % от общего количества), дошкольников - 7 человек (5,1 %). </w:t>
      </w:r>
      <w:r w:rsidR="00BC5091" w:rsidRPr="00FA218F">
        <w:rPr>
          <w:sz w:val="28"/>
          <w:szCs w:val="28"/>
        </w:rPr>
        <w:t xml:space="preserve"> </w:t>
      </w:r>
    </w:p>
    <w:p w:rsidR="000D2388" w:rsidRPr="00FA218F" w:rsidRDefault="000D2388" w:rsidP="00CC7303">
      <w:pPr>
        <w:ind w:firstLine="540"/>
        <w:jc w:val="both"/>
        <w:rPr>
          <w:color w:val="000000"/>
          <w:sz w:val="10"/>
          <w:szCs w:val="10"/>
        </w:rPr>
      </w:pPr>
    </w:p>
    <w:p w:rsidR="00C17E2C" w:rsidRDefault="00C17E2C" w:rsidP="00FA218F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C17E2C">
        <w:rPr>
          <w:color w:val="000000"/>
          <w:sz w:val="28"/>
          <w:szCs w:val="28"/>
        </w:rPr>
        <w:t xml:space="preserve">Наибольшее количество тел погибших людей было обнаружено на веранде (3,65%), в пристройке к зданию </w:t>
      </w:r>
      <w:r>
        <w:rPr>
          <w:color w:val="000000"/>
          <w:sz w:val="28"/>
          <w:szCs w:val="28"/>
          <w:lang w:val="en-US"/>
        </w:rPr>
        <w:t>(2,92%), в жилой комнате (59,85%), на кухне (8,03%), в прочих помещениях (13,87%).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BF5CF4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9325" cy="31432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C17E2C" w:rsidP="009B3B13">
      <w:pPr>
        <w:ind w:firstLine="720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 xml:space="preserve">Вследствие воздействия продуктов горения погибли 85 человек (62,0 % от общего количества), от воздействия высокой температуры - 33 человека (24,1 %). </w:t>
      </w:r>
      <w:r w:rsidRPr="00B341FA">
        <w:rPr>
          <w:color w:val="000000"/>
          <w:sz w:val="28"/>
          <w:szCs w:val="28"/>
        </w:rPr>
        <w:t xml:space="preserve">Прочие причины гибели людей - 19 человек (13,9 %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B341FA" w:rsidRDefault="00B341F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lastRenderedPageBreak/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C17E2C" w:rsidP="00BB64CB">
      <w:pPr>
        <w:ind w:firstLine="709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ГО Верхотурский (+25,0%,</w:t>
      </w:r>
      <w:r w:rsidR="00B341FA">
        <w:rPr>
          <w:color w:val="000000"/>
          <w:sz w:val="28"/>
          <w:szCs w:val="28"/>
        </w:rPr>
        <w:t xml:space="preserve"> </w:t>
      </w:r>
      <w:proofErr w:type="gramStart"/>
      <w:r w:rsidRPr="00C17E2C">
        <w:rPr>
          <w:color w:val="000000"/>
          <w:sz w:val="28"/>
          <w:szCs w:val="28"/>
        </w:rPr>
        <w:t>увел.,</w:t>
      </w:r>
      <w:proofErr w:type="gramEnd"/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увел. соответственно), МО г. Каменск-Уральский (+6,5%,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+50,0%,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+120,0%), Полевском ГО (+40,0%,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+400,0%,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C17E2C" w:rsidP="00FA218F">
      <w:pPr>
        <w:ind w:firstLine="709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Зарегистрирован рост количества пожаров и погибших при них людей в МО Красноуфимский округ (+66,7%,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+33,3% соответственно), Нижнетуринском ГО (+22,2%,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+100,0%), Шалинском ГО (+47,1%,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+200,0%).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C17E2C" w:rsidP="00FA218F">
      <w:pPr>
        <w:ind w:firstLine="709"/>
        <w:jc w:val="both"/>
        <w:rPr>
          <w:color w:val="000000"/>
          <w:sz w:val="28"/>
          <w:szCs w:val="28"/>
        </w:rPr>
      </w:pPr>
      <w:r w:rsidRPr="00C17E2C">
        <w:rPr>
          <w:color w:val="000000"/>
          <w:sz w:val="28"/>
          <w:szCs w:val="28"/>
        </w:rPr>
        <w:t>Одновременный рост числа пожаров и травмированных людей произошел в Берёзовском ГО (+27,6%,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+200,0% соответственно), Ивдельском ГО (+14,3%,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увел.), Качканарском ГО (+114,3%,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увел.), Североуральском ГО (+75,0%,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увел.), Талицком ГО (+39,3%,</w:t>
      </w:r>
      <w:r w:rsidR="00B341FA">
        <w:rPr>
          <w:color w:val="000000"/>
          <w:sz w:val="28"/>
          <w:szCs w:val="28"/>
        </w:rPr>
        <w:t xml:space="preserve"> </w:t>
      </w:r>
      <w:r w:rsidRPr="00C17E2C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C17E2C" w:rsidP="00CC7303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Отмечается одновременный рост числа погибших и травмированных при пожарах людей в МО городе Екатеринбург (+31,6%,</w:t>
      </w:r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+22,7% соответственно), МО городе Алапаевске (+50,0%,</w:t>
      </w:r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+166,7%), ГО Карпинск (</w:t>
      </w:r>
      <w:proofErr w:type="gramStart"/>
      <w:r w:rsidRPr="00C17E2C">
        <w:rPr>
          <w:sz w:val="28"/>
          <w:szCs w:val="28"/>
        </w:rPr>
        <w:t>увел.,</w:t>
      </w:r>
      <w:proofErr w:type="gramEnd"/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увел.), ГО Краснотурьинск (увел.,</w:t>
      </w:r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+33,3%), Невьянском ГО (+100,0%,</w:t>
      </w:r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+100,0%), Режевском ГО (увел.,</w:t>
      </w:r>
      <w:r w:rsidR="00B341FA">
        <w:rPr>
          <w:sz w:val="28"/>
          <w:szCs w:val="28"/>
        </w:rPr>
        <w:t xml:space="preserve"> </w:t>
      </w:r>
      <w:r w:rsidRPr="00C17E2C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C17E2C" w:rsidRPr="00C17E2C" w:rsidRDefault="00C17E2C" w:rsidP="00FB30DB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В 13 муниципальных образованиях Свердловской области отмечается увеличение числа пожаров (Алапаевском МО (+9,1%), Артинском ГО (+5,6%), Байкаловском МР (+14,3%), Верхнесалдинском ГО (+6,7%), Горноуральском ГО (+2,7%), Каменском ГО (+19,2%), ГО Красноуральск (+66,7%), ГО Верхняя Тура (+14,3%), Нижнесергинском МР (+13,3%), ГО Дегтярск (+25,0%), Сосьвинском ГО (+16,7%), ГО Сухой Лог (+10,0%), Тугулымском ГО (+13,6%)).</w:t>
      </w:r>
    </w:p>
    <w:p w:rsidR="00FB30DB" w:rsidRPr="00C17E2C" w:rsidRDefault="00707789" w:rsidP="00FB30DB">
      <w:pPr>
        <w:ind w:firstLine="720"/>
        <w:jc w:val="both"/>
        <w:rPr>
          <w:sz w:val="28"/>
          <w:szCs w:val="28"/>
        </w:rPr>
      </w:pPr>
      <w:r w:rsidRPr="00C17E2C">
        <w:rPr>
          <w:sz w:val="28"/>
          <w:szCs w:val="28"/>
        </w:rPr>
        <w:t xml:space="preserve"> </w:t>
      </w:r>
    </w:p>
    <w:p w:rsidR="00C17E2C" w:rsidRPr="00C17E2C" w:rsidRDefault="00C17E2C" w:rsidP="00FA218F">
      <w:pPr>
        <w:ind w:firstLine="709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В 8 муниципальных образованиях Свердловской области отмечается увеличение числа погибших при пожарах людей (Ачитском ГО (увел.), Белоярском ГО (+25,0%), ГО Богданович (увел.), ГО Ревда (увел.), Серовском ГО (+300,0%), Слободотуринском МР (+100,0%), Тавдинском ГО (+50,0%), Туринском ГО (+33,3%)).</w:t>
      </w:r>
    </w:p>
    <w:p w:rsidR="00032DBB" w:rsidRPr="00C17E2C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C17E2C" w:rsidRPr="00C17E2C" w:rsidRDefault="00C17E2C" w:rsidP="00FA218F">
      <w:pPr>
        <w:ind w:firstLine="709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В 1 муниципальных образованиях Свердловской области отмечается увеличение числа погибших при пожарах детей (Туринском ГО (увел.)).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C17E2C" w:rsidP="00DF0584">
      <w:pPr>
        <w:ind w:firstLine="709"/>
        <w:jc w:val="both"/>
        <w:rPr>
          <w:sz w:val="28"/>
          <w:szCs w:val="28"/>
        </w:rPr>
      </w:pPr>
      <w:r w:rsidRPr="00C17E2C">
        <w:rPr>
          <w:sz w:val="28"/>
          <w:szCs w:val="28"/>
        </w:rPr>
        <w:t>В 5 муниципальных образованиях Свердловской области отмечается увеличение числа травмированных при пожарах людей (ГО Рефтинский (увел.), ГО Верхняя Пышма (увел.), Ирбитском МО (увел.), ГО Первоуральск (+16,7%), Сысертском ГО (увел.)</w:t>
      </w:r>
      <w:r w:rsidRPr="00B341FA">
        <w:rPr>
          <w:sz w:val="28"/>
          <w:szCs w:val="28"/>
        </w:rPr>
        <w:t>).</w:t>
      </w:r>
      <w:bookmarkStart w:id="0" w:name="z28"/>
      <w:bookmarkStart w:id="1" w:name="_GoBack"/>
      <w:bookmarkEnd w:id="0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95" w:rsidRDefault="00E56D95">
      <w:r>
        <w:separator/>
      </w:r>
    </w:p>
  </w:endnote>
  <w:endnote w:type="continuationSeparator" w:id="0">
    <w:p w:rsidR="00E56D95" w:rsidRDefault="00E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41FA">
      <w:rPr>
        <w:rStyle w:val="a8"/>
        <w:noProof/>
      </w:rPr>
      <w:t>8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95" w:rsidRDefault="00E56D95">
      <w:r>
        <w:separator/>
      </w:r>
    </w:p>
  </w:footnote>
  <w:footnote w:type="continuationSeparator" w:id="0">
    <w:p w:rsidR="00E56D95" w:rsidRDefault="00E5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F4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00F9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41FA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5CF4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17E2C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D95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D43C0364-79A3-42EE-8454-B65E521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_CO_gubernator_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1592</c:v>
                </c:pt>
                <c:pt idx="1">
                  <c:v>151</c:v>
                </c:pt>
                <c:pt idx="2">
                  <c:v>152</c:v>
                </c:pt>
                <c:pt idx="3">
                  <c:v>254.4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1503</c:v>
                </c:pt>
                <c:pt idx="1">
                  <c:v>137</c:v>
                </c:pt>
                <c:pt idx="2">
                  <c:v>141</c:v>
                </c:pt>
                <c:pt idx="3">
                  <c:v>128.5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9817784"/>
        <c:axId val="429818960"/>
      </c:barChart>
      <c:catAx>
        <c:axId val="429817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18960"/>
        <c:crosses val="autoZero"/>
        <c:auto val="1"/>
        <c:lblAlgn val="ctr"/>
        <c:lblOffset val="100"/>
        <c:noMultiLvlLbl val="0"/>
      </c:catAx>
      <c:valAx>
        <c:axId val="42981896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17784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325</c:v>
                </c:pt>
                <c:pt idx="1">
                  <c:v>245</c:v>
                </c:pt>
                <c:pt idx="2">
                  <c:v>305</c:v>
                </c:pt>
                <c:pt idx="3">
                  <c:v>312</c:v>
                </c:pt>
                <c:pt idx="4">
                  <c:v>405</c:v>
                </c:pt>
                <c:pt idx="5">
                  <c:v>279</c:v>
                </c:pt>
                <c:pt idx="6">
                  <c:v>280</c:v>
                </c:pt>
                <c:pt idx="7">
                  <c:v>258</c:v>
                </c:pt>
                <c:pt idx="8">
                  <c:v>298</c:v>
                </c:pt>
                <c:pt idx="9">
                  <c:v>314</c:v>
                </c:pt>
                <c:pt idx="10">
                  <c:v>267</c:v>
                </c:pt>
                <c:pt idx="11">
                  <c:v>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245</c:v>
                </c:pt>
                <c:pt idx="1">
                  <c:v>264</c:v>
                </c:pt>
                <c:pt idx="2">
                  <c:v>271</c:v>
                </c:pt>
                <c:pt idx="3">
                  <c:v>260</c:v>
                </c:pt>
                <c:pt idx="4">
                  <c:v>353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9809160"/>
        <c:axId val="429809552"/>
      </c:barChart>
      <c:catAx>
        <c:axId val="429809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09552"/>
        <c:crosses val="autoZero"/>
        <c:auto val="1"/>
        <c:lblAlgn val="ctr"/>
        <c:lblOffset val="100"/>
        <c:noMultiLvlLbl val="0"/>
      </c:catAx>
      <c:valAx>
        <c:axId val="429809552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09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4F4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222</c:v>
                </c:pt>
                <c:pt idx="1">
                  <c:v>196</c:v>
                </c:pt>
                <c:pt idx="2">
                  <c:v>204</c:v>
                </c:pt>
                <c:pt idx="3">
                  <c:v>197</c:v>
                </c:pt>
                <c:pt idx="4">
                  <c:v>203</c:v>
                </c:pt>
                <c:pt idx="5">
                  <c:v>234</c:v>
                </c:pt>
                <c:pt idx="6">
                  <c:v>247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429812296"/>
        <c:axId val="429820920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93902454994253E-2"/>
                  <c:y val="-1.409206573043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9141661402565E-2"/>
                  <c:y val="-7.71087844328366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10073187473886E-2"/>
                  <c:y val="-1.0540789791062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407587346505172E-2"/>
                  <c:y val="-7.836936633328905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22965231428826E-2"/>
                  <c:y val="-6.50788101234628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59654591762357E-2"/>
                  <c:y val="-9.33779236012499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85716875079381E-2"/>
                  <c:y val="-1.2287258047184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23</c:v>
                </c:pt>
                <c:pt idx="1">
                  <c:v>12</c:v>
                </c:pt>
                <c:pt idx="2">
                  <c:v>10</c:v>
                </c:pt>
                <c:pt idx="3">
                  <c:v>26</c:v>
                </c:pt>
                <c:pt idx="4">
                  <c:v>24</c:v>
                </c:pt>
                <c:pt idx="5">
                  <c:v>20</c:v>
                </c:pt>
                <c:pt idx="6">
                  <c:v>22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9812296"/>
        <c:axId val="429820920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251986102909245E-2"/>
                  <c:y val="3.9295131284090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64254360301301E-2"/>
                  <c:y val="4.2707218794062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553388456918E-2"/>
                  <c:y val="5.1503315050534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23048043600521E-2"/>
                  <c:y val="5.299199695607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7114453114299E-2"/>
                  <c:y val="6.2576661492818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96426764267473E-2"/>
                  <c:y val="4.9511424302557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872629447889048E-2"/>
                  <c:y val="5.9096088839299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3">
                  <c:v>12</c:v>
                </c:pt>
                <c:pt idx="4">
                  <c:v>12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9822096"/>
        <c:axId val="429821704"/>
      </c:lineChart>
      <c:catAx>
        <c:axId val="429812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98209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982092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9812296"/>
        <c:crosses val="autoZero"/>
        <c:crossBetween val="between"/>
      </c:valAx>
      <c:catAx>
        <c:axId val="429822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9821704"/>
        <c:crosses val="autoZero"/>
        <c:auto val="0"/>
        <c:lblAlgn val="ctr"/>
        <c:lblOffset val="100"/>
        <c:noMultiLvlLbl val="0"/>
      </c:catAx>
      <c:valAx>
        <c:axId val="429821704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98220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1153</c:v>
                </c:pt>
                <c:pt idx="1">
                  <c:v>82</c:v>
                </c:pt>
                <c:pt idx="2">
                  <c:v>123</c:v>
                </c:pt>
                <c:pt idx="3" formatCode="0.0">
                  <c:v>193.7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1048</c:v>
                </c:pt>
                <c:pt idx="1">
                  <c:v>73</c:v>
                </c:pt>
                <c:pt idx="2">
                  <c:v>121</c:v>
                </c:pt>
                <c:pt idx="3" formatCode="0.0">
                  <c:v>80.400000000000006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9821312"/>
        <c:axId val="429822880"/>
      </c:barChart>
      <c:catAx>
        <c:axId val="42982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22880"/>
        <c:crosses val="autoZero"/>
        <c:auto val="1"/>
        <c:lblAlgn val="ctr"/>
        <c:lblOffset val="100"/>
        <c:noMultiLvlLbl val="0"/>
      </c:catAx>
      <c:valAx>
        <c:axId val="42982288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21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439</c:v>
                </c:pt>
                <c:pt idx="1">
                  <c:v>82</c:v>
                </c:pt>
                <c:pt idx="2">
                  <c:v>123</c:v>
                </c:pt>
                <c:pt idx="3" formatCode="0.0">
                  <c:v>193.7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455</c:v>
                </c:pt>
                <c:pt idx="1">
                  <c:v>73</c:v>
                </c:pt>
                <c:pt idx="2">
                  <c:v>121</c:v>
                </c:pt>
                <c:pt idx="3" formatCode="0.0">
                  <c:v>80.400000000000006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9820528"/>
        <c:axId val="429820136"/>
      </c:barChart>
      <c:catAx>
        <c:axId val="42982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20136"/>
        <c:crosses val="autoZero"/>
        <c:auto val="1"/>
        <c:lblAlgn val="ctr"/>
        <c:lblOffset val="100"/>
        <c:noMultiLvlLbl val="0"/>
      </c:catAx>
      <c:valAx>
        <c:axId val="429820136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9820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09363797293275E-2"/>
                  <c:y val="3.43113457567030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1137</c:v>
                </c:pt>
                <c:pt idx="1">
                  <c:v>59</c:v>
                </c:pt>
                <c:pt idx="2">
                  <c:v>26</c:v>
                </c:pt>
                <c:pt idx="3">
                  <c:v>14</c:v>
                </c:pt>
                <c:pt idx="4">
                  <c:v>2</c:v>
                </c:pt>
                <c:pt idx="5">
                  <c:v>1</c:v>
                </c:pt>
                <c:pt idx="6">
                  <c:v>201</c:v>
                </c:pt>
                <c:pt idx="7">
                  <c:v>49</c:v>
                </c:pt>
                <c:pt idx="8">
                  <c:v>1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302</c:v>
                </c:pt>
                <c:pt idx="1">
                  <c:v>509</c:v>
                </c:pt>
                <c:pt idx="2">
                  <c:v>272</c:v>
                </c:pt>
                <c:pt idx="3">
                  <c:v>106</c:v>
                </c:pt>
                <c:pt idx="4">
                  <c:v>246</c:v>
                </c:pt>
                <c:pt idx="5">
                  <c:v>25</c:v>
                </c:pt>
                <c:pt idx="6">
                  <c:v>8</c:v>
                </c:pt>
                <c:pt idx="7">
                  <c:v>15</c:v>
                </c:pt>
                <c:pt idx="8">
                  <c:v>3</c:v>
                </c:pt>
                <c:pt idx="9">
                  <c:v>10</c:v>
                </c:pt>
                <c:pt idx="10" formatCode="General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05231034078021E-2"/>
          <c:y val="7.8549964817145046E-2"/>
          <c:w val="0.91186040142415592"/>
          <c:h val="0.6676747009457328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CFCFA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21</c:v>
                </c:pt>
                <c:pt idx="1">
                  <c:v>15</c:v>
                </c:pt>
                <c:pt idx="2">
                  <c:v>14</c:v>
                </c:pt>
                <c:pt idx="3">
                  <c:v>11</c:v>
                </c:pt>
                <c:pt idx="4">
                  <c:v>17</c:v>
                </c:pt>
                <c:pt idx="5">
                  <c:v>3</c:v>
                </c:pt>
                <c:pt idx="6">
                  <c:v>6</c:v>
                </c:pt>
                <c:pt idx="7">
                  <c:v>8</c:v>
                </c:pt>
                <c:pt idx="8">
                  <c:v>9</c:v>
                </c:pt>
                <c:pt idx="9">
                  <c:v>14</c:v>
                </c:pt>
                <c:pt idx="10">
                  <c:v>9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19667488"/>
        <c:axId val="319667880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2018574972663629E-2"/>
                  <c:y val="-5.5282773472099533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083778390765445E-2"/>
                  <c:y val="-4.5617469356648011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1548419454481E-2"/>
                  <c:y val="-7.4619725320926866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06485395207225E-2"/>
                  <c:y val="9.9745143494500699E-4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471688813309013E-2"/>
                  <c:y val="-8.066006043956353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39458841998076E-2"/>
                  <c:y val="-2.6280517507821788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614759577380347E-2"/>
                  <c:y val="-7.0994756324113117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679962995482136E-2"/>
                  <c:y val="-4.5617469356648011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950299634758474E-2"/>
                  <c:y val="-5.6492042437493728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618069663447481E-2"/>
                  <c:y val="-9.3624374993783732E-4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068327308154938E-2"/>
                  <c:y val="-1.0571706464770347E-3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351043110238388E-2"/>
                  <c:y val="9.9745143494500699E-4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6</c:v>
                </c:pt>
                <c:pt idx="1">
                  <c:v>4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9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9663960"/>
        <c:axId val="319659648"/>
      </c:lineChart>
      <c:catAx>
        <c:axId val="3196674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96678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966788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9667488"/>
        <c:crosses val="autoZero"/>
        <c:crossBetween val="between"/>
      </c:valAx>
      <c:catAx>
        <c:axId val="319663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9659648"/>
        <c:crosses val="autoZero"/>
        <c:auto val="0"/>
        <c:lblAlgn val="ctr"/>
        <c:lblOffset val="100"/>
        <c:noMultiLvlLbl val="0"/>
      </c:catAx>
      <c:valAx>
        <c:axId val="319659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9663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307719394342502"/>
          <c:y val="0.90634574789013511"/>
          <c:w val="0.69711647560546186"/>
          <c:h val="7.250765983121081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113</c:v>
                </c:pt>
                <c:pt idx="1">
                  <c:v>21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85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9662392"/>
        <c:axId val="319656120"/>
      </c:barChart>
      <c:catAx>
        <c:axId val="319662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656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656120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662392"/>
        <c:crosses val="autoZero"/>
        <c:crossBetween val="between"/>
        <c:majorUnit val="5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0.13567</cdr:x>
      <cdr:y>0.65801</cdr:y>
    </cdr:from>
    <cdr:to>
      <cdr:x>0.25425</cdr:x>
      <cdr:y>0.75861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50074" y="1796699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-5,6%</a:t>
          </a:r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96" y="1805325"/>
          <a:ext cx="742969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-9,3%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-49,5%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0.58224</cdr:x>
      <cdr:y>0.65768</cdr:y>
    </cdr:from>
    <cdr:to>
      <cdr:x>0.70082</cdr:x>
      <cdr:y>0.75829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3648054" y="1795795"/>
          <a:ext cx="742968" cy="2747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-7,2%</a:t>
          </a:r>
        </a:p>
      </cdr:txBody>
    </cdr:sp>
  </cdr:relSizeAnchor>
  <cdr:relSizeAnchor xmlns:cdr="http://schemas.openxmlformats.org/drawingml/2006/chartDrawing">
    <cdr:from>
      <cdr:x>0.37687</cdr:x>
      <cdr:y>0.54762</cdr:y>
    </cdr:from>
    <cdr:to>
      <cdr:x>0.46682</cdr:x>
      <cdr:y>0.62302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61320" y="1495286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0.15653</cdr:x>
      <cdr:y>0.54762</cdr:y>
    </cdr:from>
    <cdr:to>
      <cdr:x>0.24648</cdr:x>
      <cdr:y>0.62302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0734" y="1495286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0.60187</cdr:x>
      <cdr:y>0.55111</cdr:y>
    </cdr:from>
    <cdr:to>
      <cdr:x>0.69182</cdr:x>
      <cdr:y>0.62651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71020" y="1504811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0.08278</cdr:x>
      <cdr:y>0.65122</cdr:y>
    </cdr:from>
    <cdr:to>
      <cdr:x>0.15546</cdr:x>
      <cdr:y>0.71275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22390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+9,2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0.15674</cdr:x>
      <cdr:y>0.65122</cdr:y>
    </cdr:from>
    <cdr:to>
      <cdr:x>0.22942</cdr:x>
      <cdr:y>0.71275</cdr:y>
    </cdr:to>
    <cdr:sp macro="" textlink="">
      <cdr:nvSpPr>
        <cdr:cNvPr id="4" name="TextBox 8"/>
        <cdr:cNvSpPr txBox="1"/>
      </cdr:nvSpPr>
      <cdr:spPr>
        <a:xfrm xmlns:a="http://schemas.openxmlformats.org/drawingml/2006/main">
          <a:off x="989115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+7,8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0.23372</cdr:x>
      <cdr:y>0.6548</cdr:y>
    </cdr:from>
    <cdr:to>
      <cdr:x>0.3064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474903" y="1741366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-11,1%</a:t>
          </a:r>
        </a:p>
      </cdr:txBody>
    </cdr:sp>
  </cdr:relSizeAnchor>
  <cdr:relSizeAnchor xmlns:cdr="http://schemas.openxmlformats.org/drawingml/2006/chartDrawing">
    <cdr:from>
      <cdr:x>0.30617</cdr:x>
      <cdr:y>0.6548</cdr:y>
    </cdr:from>
    <cdr:to>
      <cdr:x>0.37885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932103" y="1741366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-16,7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0.38164</cdr:x>
      <cdr:y>0.65122</cdr:y>
    </cdr:from>
    <cdr:to>
      <cdr:x>0.45432</cdr:x>
      <cdr:y>0.71275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2408376" y="1731837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-12,8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0.1353</cdr:x>
      <cdr:y>0.65759</cdr:y>
    </cdr:from>
    <cdr:to>
      <cdr:x>0.24522</cdr:x>
      <cdr:y>0.75819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47732" y="1795132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0.36181</cdr:x>
      <cdr:y>0.65514</cdr:y>
    </cdr:from>
    <cdr:to>
      <cdr:x>0.47173</cdr:x>
      <cdr:y>0.75575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66942" y="1788446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-11,0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0.58407</cdr:x>
      <cdr:y>0.65568</cdr:y>
    </cdr:from>
    <cdr:to>
      <cdr:x>0.69399</cdr:x>
      <cdr:y>0.75628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59505" y="17899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0.81211</cdr:x>
      <cdr:y>0.65568</cdr:y>
    </cdr:from>
    <cdr:to>
      <cdr:x>0.92203</cdr:x>
      <cdr:y>0.75628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88310" y="17899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5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0.14804</cdr:x>
      <cdr:y>0.54777</cdr:y>
    </cdr:from>
    <cdr:to>
      <cdr:x>0.23799</cdr:x>
      <cdr:y>0.62317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7557" y="1495338"/>
          <a:ext cx="563586" cy="205832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0.59651</cdr:x>
      <cdr:y>0.5478</cdr:y>
    </cdr:from>
    <cdr:to>
      <cdr:x>0.68646</cdr:x>
      <cdr:y>0.6232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37441" y="1495424"/>
          <a:ext cx="563586" cy="205832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0.37607</cdr:x>
      <cdr:y>0.54777</cdr:y>
    </cdr:from>
    <cdr:to>
      <cdr:x>0.46602</cdr:x>
      <cdr:y>0.62317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6307" y="1495338"/>
          <a:ext cx="563586" cy="205832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0.13014</cdr:x>
      <cdr:y>0.55059</cdr:y>
    </cdr:from>
    <cdr:to>
      <cdr:x>0.21967</cdr:x>
      <cdr:y>0.62169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819179" y="1594296"/>
          <a:ext cx="563570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0.58257</cdr:x>
      <cdr:y>0.67445</cdr:y>
    </cdr:from>
    <cdr:to>
      <cdr:x>0.69249</cdr:x>
      <cdr:y>0.77505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3667125" y="1952933"/>
          <a:ext cx="691920" cy="291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-31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0.35559</cdr:x>
      <cdr:y>0.66458</cdr:y>
    </cdr:from>
    <cdr:to>
      <cdr:x>0.46551</cdr:x>
      <cdr:y>0.76518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2238375" y="1924358"/>
          <a:ext cx="691920" cy="291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0.37029</cdr:x>
      <cdr:y>0.5504</cdr:y>
    </cdr:from>
    <cdr:to>
      <cdr:x>0.45983</cdr:x>
      <cdr:y>0.62149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0885" y="1593746"/>
          <a:ext cx="563632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0.59878</cdr:x>
      <cdr:y>0.56356</cdr:y>
    </cdr:from>
    <cdr:to>
      <cdr:x>0.68831</cdr:x>
      <cdr:y>0.63465</cdr:y>
    </cdr:to>
    <cdr:sp macro="" textlink="">
      <cdr:nvSpPr>
        <cdr:cNvPr id="1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9193" y="1631853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0.82273</cdr:x>
      <cdr:y>0.56356</cdr:y>
    </cdr:from>
    <cdr:to>
      <cdr:x>0.91226</cdr:x>
      <cdr:y>0.63465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893" y="1631853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12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3</cp:revision>
  <cp:lastPrinted>2011-05-18T05:05:00Z</cp:lastPrinted>
  <dcterms:created xsi:type="dcterms:W3CDTF">2018-06-06T07:40:00Z</dcterms:created>
  <dcterms:modified xsi:type="dcterms:W3CDTF">2018-06-06T07:51:00Z</dcterms:modified>
</cp:coreProperties>
</file>